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9C774">
      <w:pPr>
        <w:pStyle w:val="2"/>
        <w:widowControl w:val="0"/>
        <w:kinsoku/>
        <w:autoSpaceDE/>
        <w:autoSpaceDN/>
        <w:adjustRightInd/>
        <w:snapToGrid/>
        <w:spacing w:beforeAutospacing="0" w:afterAutospacing="0" w:line="360" w:lineRule="auto"/>
        <w:jc w:val="center"/>
        <w:textAlignment w:val="auto"/>
        <w:rPr>
          <w:rFonts w:cs="宋体"/>
          <w:sz w:val="36"/>
          <w:szCs w:val="36"/>
        </w:rPr>
      </w:pPr>
      <w:r>
        <w:rPr>
          <w:sz w:val="40"/>
          <w:szCs w:val="40"/>
        </w:rPr>
        <w:t>采购需求</w:t>
      </w:r>
      <w:bookmarkStart w:id="0" w:name="_Toc49090575"/>
      <w:bookmarkEnd w:id="0"/>
      <w:bookmarkStart w:id="1" w:name="_Toc26554093"/>
      <w:bookmarkEnd w:id="1"/>
    </w:p>
    <w:p w14:paraId="13C59EA9">
      <w:pPr>
        <w:widowControl w:val="0"/>
        <w:kinsoku/>
        <w:autoSpaceDE/>
        <w:autoSpaceDN/>
        <w:adjustRightInd/>
        <w:snapToGrid/>
        <w:spacing w:line="360" w:lineRule="auto"/>
        <w:ind w:firstLine="480" w:firstLineChars="200"/>
        <w:textAlignment w:val="auto"/>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pPr>
      <w:r>
        <w:rPr>
          <w:rFonts w:hint="eastAsia" w:ascii="宋体" w:hAnsi="宋体" w:eastAsia="宋体" w:cs="宋体"/>
          <w:sz w:val="24"/>
          <w:szCs w:val="24"/>
          <w:lang w:eastAsia="zh-CN"/>
        </w:rPr>
        <w:t>1.拟采购的标的：</w:t>
      </w:r>
      <w:r>
        <w:rPr>
          <w:rFonts w:hint="eastAsia" w:ascii="宋体" w:hAnsi="宋体" w:eastAsia="宋体" w:cs="宋体"/>
          <w:snapToGrid w:val="0"/>
          <w:color w:val="000000"/>
          <w:sz w:val="24"/>
          <w:szCs w:val="24"/>
          <w:lang w:val="en-US" w:eastAsia="zh-CN" w:bidi="ar-SA"/>
        </w:rPr>
        <w:t>黑龙江农业职业技术学院智慧种植与加工专业群虚拟仿真实训资源建设</w:t>
      </w:r>
      <w:bookmarkStart w:id="4" w:name="_GoBack"/>
      <w:bookmarkEnd w:id="4"/>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项目。</w:t>
      </w:r>
    </w:p>
    <w:p w14:paraId="1F6473FE">
      <w:pPr>
        <w:pStyle w:val="14"/>
        <w:spacing w:line="360" w:lineRule="auto"/>
        <w:ind w:firstLine="480"/>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2.技术要求</w:t>
      </w:r>
    </w:p>
    <w:p w14:paraId="6BC28C65">
      <w:pPr>
        <w:pStyle w:val="14"/>
        <w:spacing w:line="360" w:lineRule="auto"/>
        <w:ind w:firstLine="480"/>
        <w:rPr>
          <w:rFonts w:hint="eastAsia" w:ascii="仿宋" w:hAnsi="仿宋" w:eastAsia="仿宋" w:cs="仿宋"/>
          <w:sz w:val="28"/>
          <w:szCs w:val="28"/>
          <w:lang w:eastAsia="zh-CN"/>
        </w:rPr>
      </w:pP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2.1项目背景</w:t>
      </w:r>
    </w:p>
    <w:p w14:paraId="2190F694">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为契合国家“新农科”建设要求，</w:t>
      </w:r>
      <w:bookmarkStart w:id="2" w:name="OLE_LINK1"/>
      <w:r>
        <w:rPr>
          <w:rFonts w:hint="eastAsia" w:ascii="宋体" w:hAnsi="宋体" w:eastAsia="宋体" w:cs="宋体"/>
          <w:sz w:val="24"/>
          <w:szCs w:val="24"/>
          <w:lang w:val="en-US" w:eastAsia="zh-CN"/>
        </w:rPr>
        <w:t>加强</w:t>
      </w:r>
      <w:bookmarkEnd w:id="2"/>
      <w:r>
        <w:rPr>
          <w:rFonts w:hint="eastAsia" w:ascii="宋体" w:hAnsi="宋体" w:eastAsia="宋体" w:cs="宋体"/>
          <w:sz w:val="24"/>
          <w:szCs w:val="24"/>
          <w:lang w:val="en-US" w:eastAsia="zh-CN"/>
        </w:rPr>
        <w:t>实践教学环节，提升农学专业人才培养质量，从教学实际需要出发，以“能实不虚、以实带虚、以虚助实、虚实结合”为宗旨，围绕涵盖智慧农业、园艺生产、作物种植、农作物育种、植物生产的现代农业产业链，采用“硬件+平台+资源”方式，行业企业、学校、信息企业三方合作，实施校企共建共管共享，瞄准产业高端，迎合市场需求，分析学生特点，运用虚拟仿真技术手段，解决实践教学难题，融合创新创业教育，在硬件建设、软件开发、师资队伍培养、教学运行管理、教育教学改革、科研技术服务和企业的产学结合七个方面进行探索，进一步改建提升沉浸式开放式移动化虚拟仿真实训教学管理和共享平台，丰富虚拟仿真实训及相关网络教学资源，升级硬件，增强软件的专业性、真实性、娱乐性、趣味性，继续面向各个专业的相关课程开展虚拟仿真实践教学和数字化教学</w:t>
      </w:r>
      <w:r>
        <w:rPr>
          <w:rFonts w:hint="eastAsia" w:ascii="宋体" w:hAnsi="宋体" w:eastAsia="宋体" w:cs="宋体"/>
          <w:sz w:val="24"/>
          <w:szCs w:val="24"/>
          <w:lang w:eastAsia="zh-CN"/>
        </w:rPr>
        <w:t>，直接服务于农业人才培养与科研创新目标。</w:t>
      </w:r>
    </w:p>
    <w:p w14:paraId="51505738">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2.2项目目标</w:t>
      </w:r>
    </w:p>
    <w:p w14:paraId="244929E3">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深化产教融合，借助VR/AR/MR技术、人工智能技术、大数据技术等，构建虚拟仿真实训，结合实训，将理论教学、实操加工、虚拟仿真充分融合，实现“教学过程任务化、学生学习自主化、评价主体多元化”，助力学院教学实训，改革教材内容，提升教师信息技术水平，改革教学方法，形成符合教学规律的“理虚实”一体化教学模式。</w:t>
      </w:r>
    </w:p>
    <w:p w14:paraId="47D88A2B">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建设以虚拟仿真技术为主的展示体验中心、教学实训中心、创新研发中心、虚拟仿真课程体系，促进信息技术与职业教育教学深度融合，解决职业教育实训教学“高投入、高风险、高难度，难实施、难观摩、难再现”的问题。聚合专业虚拟仿真教育资源与服务，提供全新的功能特性与多样化的应用情境，还原真实岗位工作情境，构建教学环境，延展实训教学时间和空间、拓展实训教学内容广度和深度、提升实训教学质量和水平，建设区域特色示范性虚拟仿真实训基地，提升学校区域内的知名度、影响力和综合竞争实力。</w:t>
      </w:r>
    </w:p>
    <w:p w14:paraId="6C171864">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2.3</w:t>
      </w:r>
      <w:r>
        <w:rPr>
          <w:rFonts w:ascii="宋体" w:hAnsi="宋体" w:eastAsia="宋体" w:cs="宋体"/>
          <w:sz w:val="24"/>
          <w:szCs w:val="24"/>
          <w:lang w:eastAsia="zh-CN"/>
        </w:rPr>
        <w:t>项目内容、数量及要求：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5201"/>
        <w:gridCol w:w="450"/>
        <w:gridCol w:w="449"/>
        <w:gridCol w:w="449"/>
        <w:gridCol w:w="449"/>
      </w:tblGrid>
      <w:tr w14:paraId="5215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vAlign w:val="center"/>
          </w:tcPr>
          <w:p w14:paraId="4D0FAB77">
            <w:pPr>
              <w:widowControl w:val="0"/>
              <w:jc w:val="center"/>
              <w:rPr>
                <w:rFonts w:hint="eastAsia"/>
                <w:lang w:eastAsia="zh-CN"/>
              </w:rPr>
            </w:pPr>
            <w:r>
              <w:rPr>
                <w:rFonts w:hint="eastAsia"/>
                <w:lang w:eastAsia="zh-CN"/>
              </w:rPr>
              <w:t>名称</w:t>
            </w:r>
          </w:p>
        </w:tc>
        <w:tc>
          <w:tcPr>
            <w:tcW w:w="5201" w:type="dxa"/>
            <w:vAlign w:val="center"/>
          </w:tcPr>
          <w:p w14:paraId="29A766A1">
            <w:pPr>
              <w:widowControl w:val="0"/>
              <w:jc w:val="center"/>
              <w:rPr>
                <w:rFonts w:hint="eastAsia"/>
                <w:lang w:eastAsia="zh-CN"/>
              </w:rPr>
            </w:pPr>
            <w:r>
              <w:rPr>
                <w:rFonts w:hint="eastAsia"/>
                <w:lang w:eastAsia="zh-CN"/>
              </w:rPr>
              <w:t>功能（要求）</w:t>
            </w:r>
          </w:p>
        </w:tc>
        <w:tc>
          <w:tcPr>
            <w:tcW w:w="450" w:type="dxa"/>
            <w:vAlign w:val="center"/>
          </w:tcPr>
          <w:p w14:paraId="252585E0">
            <w:pPr>
              <w:widowControl w:val="0"/>
              <w:jc w:val="center"/>
              <w:rPr>
                <w:rFonts w:hint="default"/>
                <w:lang w:val="en-US" w:eastAsia="zh-CN"/>
              </w:rPr>
            </w:pPr>
            <w:r>
              <w:rPr>
                <w:rFonts w:hint="eastAsia"/>
                <w:lang w:val="en-US" w:eastAsia="zh-CN"/>
              </w:rPr>
              <w:t>数量</w:t>
            </w:r>
          </w:p>
        </w:tc>
        <w:tc>
          <w:tcPr>
            <w:tcW w:w="449" w:type="dxa"/>
            <w:vAlign w:val="center"/>
          </w:tcPr>
          <w:p w14:paraId="3A19803F">
            <w:pPr>
              <w:widowControl w:val="0"/>
              <w:jc w:val="center"/>
              <w:rPr>
                <w:rFonts w:hint="default"/>
                <w:lang w:val="en-US" w:eastAsia="zh-CN"/>
              </w:rPr>
            </w:pPr>
            <w:r>
              <w:rPr>
                <w:rFonts w:hint="eastAsia"/>
                <w:lang w:val="en-US" w:eastAsia="zh-CN"/>
              </w:rPr>
              <w:t>参数</w:t>
            </w:r>
          </w:p>
        </w:tc>
        <w:tc>
          <w:tcPr>
            <w:tcW w:w="449" w:type="dxa"/>
            <w:vAlign w:val="center"/>
          </w:tcPr>
          <w:p w14:paraId="5561FE3A">
            <w:pPr>
              <w:widowControl w:val="0"/>
              <w:jc w:val="center"/>
              <w:rPr>
                <w:rFonts w:hint="eastAsia"/>
                <w:lang w:eastAsia="zh-CN"/>
              </w:rPr>
            </w:pPr>
            <w:r>
              <w:rPr>
                <w:rFonts w:hint="eastAsia"/>
                <w:lang w:eastAsia="zh-CN"/>
              </w:rPr>
              <w:t>单价</w:t>
            </w:r>
          </w:p>
        </w:tc>
        <w:tc>
          <w:tcPr>
            <w:tcW w:w="449" w:type="dxa"/>
            <w:vAlign w:val="center"/>
          </w:tcPr>
          <w:p w14:paraId="73FC1CC0">
            <w:pPr>
              <w:widowControl w:val="0"/>
              <w:jc w:val="center"/>
              <w:rPr>
                <w:rFonts w:hint="default"/>
                <w:lang w:val="en-US" w:eastAsia="zh-CN"/>
              </w:rPr>
            </w:pPr>
            <w:r>
              <w:rPr>
                <w:rFonts w:hint="eastAsia"/>
                <w:lang w:val="en-US" w:eastAsia="zh-CN"/>
              </w:rPr>
              <w:t>总价</w:t>
            </w:r>
          </w:p>
        </w:tc>
      </w:tr>
      <w:tr w14:paraId="0774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tcPr>
          <w:p w14:paraId="0A487D0F">
            <w:pPr>
              <w:widowControl w:val="0"/>
              <w:kinsoku/>
              <w:autoSpaceDE/>
              <w:autoSpaceDN/>
              <w:adjustRightInd/>
              <w:snapToGrid/>
              <w:spacing w:line="360" w:lineRule="auto"/>
              <w:jc w:val="both"/>
              <w:textAlignment w:val="auto"/>
              <w:rPr>
                <w:rFonts w:hint="eastAsia"/>
                <w:lang w:eastAsia="zh-CN"/>
              </w:rPr>
            </w:pPr>
            <w:r>
              <w:rPr>
                <w:rFonts w:hint="eastAsia" w:ascii="宋体" w:hAnsi="宋体" w:eastAsia="宋体" w:cs="宋体"/>
                <w:sz w:val="24"/>
                <w:szCs w:val="24"/>
              </w:rPr>
              <w:t>番茄栽培技术仿真实训教学系统</w:t>
            </w:r>
          </w:p>
        </w:tc>
        <w:tc>
          <w:tcPr>
            <w:tcW w:w="5201" w:type="dxa"/>
          </w:tcPr>
          <w:p w14:paraId="06FB6F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一、概述</w:t>
            </w:r>
          </w:p>
          <w:p w14:paraId="72432F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1.版本要求</w:t>
            </w:r>
          </w:p>
          <w:p w14:paraId="4951F6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1.1本须满足PC电脑端的使用；</w:t>
            </w:r>
          </w:p>
          <w:p w14:paraId="423E5B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1.2PC电脑端，支持Windows7、Windows10（包括但不限于）操作系统运行。</w:t>
            </w:r>
          </w:p>
          <w:p w14:paraId="6D4434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2.美术开发要求</w:t>
            </w:r>
          </w:p>
          <w:p w14:paraId="16B0A9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模型制作：本采用3DsMax建模开发工具，构建与实物高仿真度的模型、角色。模型要求进行烘焙处理，生成带有阴影、高光、反射及法线的写实效果的贴图；贴图要求色彩协调，明暗合理，冷暖适当，达到较好的视觉效果；</w:t>
            </w:r>
          </w:p>
          <w:p w14:paraId="2A37E3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场景制作：本围绕真实环境进行场景建设，真实地反映环境、设施状态，主相机内视野场景由近到远有自然过渡的效果；可对场景模型进行实时顶点优化，根据视觉效果调整优化比例，减少数据量，提高运行效率。</w:t>
            </w:r>
          </w:p>
          <w:p w14:paraId="46594A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二、实训内容</w:t>
            </w:r>
          </w:p>
          <w:p w14:paraId="7C2F52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1.大棚改造</w:t>
            </w:r>
          </w:p>
          <w:p w14:paraId="2B7545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2.温室消毒</w:t>
            </w:r>
          </w:p>
          <w:p w14:paraId="783A34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2.1熏蒸消毒</w:t>
            </w:r>
          </w:p>
          <w:p w14:paraId="343AE3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2.2土壤消毒</w:t>
            </w:r>
          </w:p>
          <w:p w14:paraId="02E40A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3.耕地</w:t>
            </w:r>
          </w:p>
          <w:p w14:paraId="30B23C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用旋耕机对土壤进行翻地作业。</w:t>
            </w:r>
          </w:p>
          <w:p w14:paraId="1021FB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4.起垄</w:t>
            </w:r>
          </w:p>
          <w:p w14:paraId="21418A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用起垄机对土壤进行翻地作业。</w:t>
            </w:r>
          </w:p>
          <w:p w14:paraId="4C2748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起垄能够提高土壤的表面积从而提高地温，增加了光合效能，其次起垄能增加土壤通透性促进根系生长发育，使植物的抗逆性增强。</w:t>
            </w:r>
          </w:p>
          <w:p w14:paraId="6DD9B2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5.覆膜灌水</w:t>
            </w:r>
          </w:p>
          <w:p w14:paraId="300484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对起垄后的土地进行覆膜以及覆膜后的灌水操作。</w:t>
            </w:r>
          </w:p>
          <w:p w14:paraId="7342BA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6.番茄育苗技术</w:t>
            </w:r>
          </w:p>
          <w:p w14:paraId="5AB1FC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6.1设施消毒</w:t>
            </w:r>
          </w:p>
          <w:p w14:paraId="6B6FB9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在育苗温室进行育苗前需要对温室内所有设施进行消毒。</w:t>
            </w:r>
          </w:p>
          <w:p w14:paraId="592956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6.2种子处理</w:t>
            </w:r>
          </w:p>
          <w:p w14:paraId="0FA02C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在播种前进行“温汤浸种”的操作。</w:t>
            </w:r>
          </w:p>
          <w:p w14:paraId="30C898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6.3盘穴播种</w:t>
            </w:r>
          </w:p>
          <w:p w14:paraId="7A3132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使用盘穴播种机进行机械化播种。</w:t>
            </w:r>
          </w:p>
          <w:p w14:paraId="0C1D6C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6.4苗期管理</w:t>
            </w:r>
          </w:p>
          <w:p w14:paraId="059668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掌握番茄苗期的生长环境参数。</w:t>
            </w:r>
          </w:p>
          <w:p w14:paraId="7CEE1E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7.番茄嫁接技术</w:t>
            </w:r>
          </w:p>
          <w:p w14:paraId="0F2389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掌握番茄嫁接技术。</w:t>
            </w:r>
          </w:p>
          <w:p w14:paraId="3982C6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8.番茄定植技术</w:t>
            </w:r>
          </w:p>
          <w:p w14:paraId="30F0C1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8.1施肥</w:t>
            </w:r>
          </w:p>
          <w:p w14:paraId="540D24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在定植前使用有机肥对土壤进行改良。</w:t>
            </w:r>
          </w:p>
          <w:p w14:paraId="6FFED5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8.2深耕</w:t>
            </w:r>
          </w:p>
          <w:p w14:paraId="26686B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使用旋耕机对土壤进行翻地作业。</w:t>
            </w:r>
          </w:p>
          <w:p w14:paraId="27142E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8.3起垄</w:t>
            </w:r>
          </w:p>
          <w:p w14:paraId="2FDB68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使用起垄机对土壤进行起垄。</w:t>
            </w:r>
          </w:p>
          <w:p w14:paraId="7ECCB9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8.4定植</w:t>
            </w:r>
          </w:p>
          <w:p w14:paraId="6A9022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学习番茄幼苗的定制技术。</w:t>
            </w:r>
          </w:p>
          <w:p w14:paraId="28DF44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8.5定植后苗期管理</w:t>
            </w:r>
          </w:p>
          <w:p w14:paraId="4DC9AA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lang w:eastAsia="zh-CN"/>
              </w:rPr>
            </w:pPr>
            <w:r>
              <w:rPr>
                <w:rFonts w:hint="eastAsia" w:ascii="宋体" w:hAnsi="宋体" w:eastAsia="宋体" w:cs="宋体"/>
                <w:sz w:val="24"/>
                <w:szCs w:val="32"/>
              </w:rPr>
              <w:t>掌握定植后苗期的生长环境参数</w:t>
            </w:r>
            <w:r>
              <w:rPr>
                <w:rFonts w:hint="eastAsia" w:ascii="宋体" w:hAnsi="宋体" w:eastAsia="宋体" w:cs="宋体"/>
                <w:sz w:val="24"/>
                <w:szCs w:val="32"/>
                <w:lang w:eastAsia="zh-CN"/>
              </w:rPr>
              <w:t>。</w:t>
            </w:r>
          </w:p>
          <w:p w14:paraId="5FD1D7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9.花期管理</w:t>
            </w:r>
          </w:p>
          <w:p w14:paraId="131231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9.1开花期环境调节</w:t>
            </w:r>
          </w:p>
          <w:p w14:paraId="17F695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调节番茄在开花时期的生长环境参数。</w:t>
            </w:r>
          </w:p>
          <w:p w14:paraId="581000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9.2蘸花</w:t>
            </w:r>
          </w:p>
          <w:p w14:paraId="0C68AC0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掌握</w:t>
            </w:r>
            <w:r>
              <w:rPr>
                <w:rFonts w:hint="eastAsia" w:ascii="宋体" w:hAnsi="宋体" w:eastAsia="宋体" w:cs="宋体"/>
                <w:sz w:val="24"/>
                <w:szCs w:val="32"/>
              </w:rPr>
              <w:t>番茄的蘸花</w:t>
            </w:r>
            <w:r>
              <w:rPr>
                <w:rFonts w:hint="eastAsia" w:ascii="宋体" w:hAnsi="宋体" w:eastAsia="宋体" w:cs="宋体"/>
                <w:sz w:val="24"/>
                <w:szCs w:val="32"/>
                <w:lang w:val="en-US" w:eastAsia="zh-CN"/>
              </w:rPr>
              <w:t>技能。</w:t>
            </w:r>
          </w:p>
          <w:p w14:paraId="2A4B89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9.3疏花疏果</w:t>
            </w:r>
          </w:p>
          <w:p w14:paraId="13D82B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掌握开花和结果初期的疏除技能。</w:t>
            </w:r>
          </w:p>
          <w:p w14:paraId="12CEE4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10.结果期管理</w:t>
            </w:r>
          </w:p>
          <w:p w14:paraId="4870C2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10.1结果期环境管理</w:t>
            </w:r>
          </w:p>
          <w:p w14:paraId="64BC0F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调节番茄在结果期的环境生长参数。</w:t>
            </w:r>
          </w:p>
          <w:p w14:paraId="1F2E85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11.病虫害防治</w:t>
            </w:r>
          </w:p>
          <w:p w14:paraId="3CE940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11.1农业、物理措施防治</w:t>
            </w:r>
          </w:p>
          <w:p w14:paraId="1FEC29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掌握不同种类的防治工具的使用方法。</w:t>
            </w:r>
          </w:p>
          <w:p w14:paraId="75D8E0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11.2生物药剂防治</w:t>
            </w:r>
          </w:p>
          <w:p w14:paraId="7AAB0F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pPr>
            <w:r>
              <w:rPr>
                <w:rFonts w:hint="eastAsia" w:ascii="宋体" w:hAnsi="宋体" w:eastAsia="宋体" w:cs="宋体"/>
                <w:sz w:val="24"/>
                <w:szCs w:val="32"/>
              </w:rPr>
              <w:t>了解在实际生产中常用的防治方法。</w:t>
            </w:r>
          </w:p>
        </w:tc>
        <w:tc>
          <w:tcPr>
            <w:tcW w:w="450" w:type="dxa"/>
          </w:tcPr>
          <w:p w14:paraId="630AEEF7">
            <w:pPr>
              <w:widowControl w:val="0"/>
              <w:jc w:val="both"/>
              <w:rPr>
                <w:rFonts w:hint="default"/>
                <w:lang w:val="en-US" w:eastAsia="zh-CN"/>
              </w:rPr>
            </w:pPr>
            <w:r>
              <w:rPr>
                <w:rFonts w:hint="eastAsia"/>
                <w:lang w:val="en-US" w:eastAsia="zh-CN"/>
              </w:rPr>
              <w:t>1</w:t>
            </w:r>
          </w:p>
        </w:tc>
        <w:tc>
          <w:tcPr>
            <w:tcW w:w="449" w:type="dxa"/>
          </w:tcPr>
          <w:p w14:paraId="357E6494">
            <w:pPr>
              <w:widowControl w:val="0"/>
              <w:jc w:val="both"/>
              <w:rPr>
                <w:rFonts w:hint="eastAsia"/>
                <w:lang w:eastAsia="zh-CN"/>
              </w:rPr>
            </w:pPr>
          </w:p>
        </w:tc>
        <w:tc>
          <w:tcPr>
            <w:tcW w:w="449" w:type="dxa"/>
          </w:tcPr>
          <w:p w14:paraId="27A75B8E">
            <w:pPr>
              <w:widowControl w:val="0"/>
              <w:jc w:val="both"/>
              <w:rPr>
                <w:rFonts w:hint="eastAsia"/>
                <w:lang w:eastAsia="zh-CN"/>
              </w:rPr>
            </w:pPr>
          </w:p>
        </w:tc>
        <w:tc>
          <w:tcPr>
            <w:tcW w:w="449" w:type="dxa"/>
          </w:tcPr>
          <w:p w14:paraId="00033998">
            <w:pPr>
              <w:widowControl w:val="0"/>
              <w:jc w:val="both"/>
              <w:rPr>
                <w:rFonts w:hint="eastAsia"/>
                <w:lang w:eastAsia="zh-CN"/>
              </w:rPr>
            </w:pPr>
          </w:p>
        </w:tc>
      </w:tr>
      <w:tr w14:paraId="2FCF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tcPr>
          <w:p w14:paraId="1614D9B1">
            <w:pPr>
              <w:widowControl w:val="0"/>
              <w:kinsoku/>
              <w:autoSpaceDE/>
              <w:autoSpaceDN/>
              <w:adjustRightInd/>
              <w:snapToGrid/>
              <w:spacing w:line="360" w:lineRule="auto"/>
              <w:jc w:val="both"/>
              <w:textAlignment w:val="auto"/>
              <w:rPr>
                <w:rFonts w:hint="eastAsia"/>
                <w:lang w:eastAsia="zh-CN"/>
              </w:rPr>
            </w:pPr>
            <w:r>
              <w:rPr>
                <w:rFonts w:hint="eastAsia" w:ascii="宋体" w:hAnsi="宋体" w:eastAsia="宋体" w:cs="宋体"/>
                <w:sz w:val="24"/>
                <w:szCs w:val="24"/>
              </w:rPr>
              <w:t>马铃薯常规品种选育仿真实训教学系统</w:t>
            </w:r>
          </w:p>
        </w:tc>
        <w:tc>
          <w:tcPr>
            <w:tcW w:w="5201" w:type="dxa"/>
          </w:tcPr>
          <w:p w14:paraId="7A580A4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rPr>
            </w:pPr>
            <w:r>
              <w:rPr>
                <w:rFonts w:hint="eastAsia"/>
              </w:rPr>
              <w:t>一、概述</w:t>
            </w:r>
          </w:p>
          <w:p w14:paraId="78A661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1.版本要求</w:t>
            </w:r>
          </w:p>
          <w:p w14:paraId="69D971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1.1本须满足PC电脑端的使用；</w:t>
            </w:r>
          </w:p>
          <w:p w14:paraId="6F3095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1.2PC电脑端，支持Windows7、Windows10（包括但不限于）操作系统运行。</w:t>
            </w:r>
          </w:p>
          <w:p w14:paraId="7A790D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2.美术开发要求</w:t>
            </w:r>
          </w:p>
          <w:p w14:paraId="200594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模型制作：本采用3DsMax建模开发工具，构建与实物高仿真度的模型、角色。模型要求进行烘焙处理，生成带有阴影、高光、反射及法线的写实效果的贴图；贴图要求色彩协调，明暗合理，冷暖适当，达到较好的视觉效果；</w:t>
            </w:r>
          </w:p>
          <w:p w14:paraId="77DB53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场景制作：本围绕真实环境进行场景建设，真实地反映环境、设施状态，主相机内视野场景由近到远有自然过渡的效果；可对场景模型进行实时顶点优化，根据视觉效果调整优化比例，减少数据量，提高运行效率。</w:t>
            </w:r>
          </w:p>
          <w:p w14:paraId="5C9222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二、实训内容</w:t>
            </w:r>
          </w:p>
          <w:p w14:paraId="001AA5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1.马铃薯有性杂交技术</w:t>
            </w:r>
          </w:p>
          <w:p w14:paraId="7F37D5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1.1有性杂交前的准备</w:t>
            </w:r>
          </w:p>
          <w:p w14:paraId="3A3A1B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1.2杂交</w:t>
            </w:r>
          </w:p>
          <w:p w14:paraId="7BFC02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选株与整序：选择具有母本品种典型性状、生长健壮，前期开花较多的植株，使用剪刀将花序上已经开过的、很小或发育不全的花朵全部剪掉，留下3~5朵刚开花但粉囊顶孔尚不破裂或次日即将开放的花朵供去雄。</w:t>
            </w:r>
          </w:p>
          <w:p w14:paraId="15FF95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1.3采集花粉</w:t>
            </w:r>
          </w:p>
          <w:p w14:paraId="2BF9AF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从纸袋里拿出花，振荡器将花粉振荡到纸上，桌上有振荡器震出花粉，将玻璃片的花粉倒入小瓶，倒入花粉量为小瓶容量的1/3，瓶口塞上脱脂棉，贴上标签，放置到4度冰箱中，3~7内可保持花粉活性。</w:t>
            </w:r>
          </w:p>
          <w:p w14:paraId="79CC4B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1.4去雄</w:t>
            </w:r>
          </w:p>
          <w:p w14:paraId="4A0FEC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使用镊子将花冠全部拨开，使用硫酸纸袋、回形针、塑料挂牌放置花药上，对另一朵花使用镊子拨开花冠，使粉囊顶孔破裂，如花药粉囊顶孔破裂应当将其移除。</w:t>
            </w:r>
          </w:p>
          <w:p w14:paraId="2D4492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1.5授粉</w:t>
            </w:r>
          </w:p>
          <w:p w14:paraId="4001CD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2、马铃薯后代选择</w:t>
            </w:r>
          </w:p>
          <w:p w14:paraId="4D599A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2.1实生种子处理</w:t>
            </w:r>
          </w:p>
          <w:p w14:paraId="47B753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马铃薯实生种子有六个月左右的休眠期，储存一年以上的种子可直接用于发芽，储存不足一年的种子可采用0.1%赤霉素溶液浸泡24小时，打破休眠，清水淘洗后催芽。</w:t>
            </w:r>
          </w:p>
          <w:p w14:paraId="340AD4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2.2催芽</w:t>
            </w:r>
          </w:p>
          <w:p w14:paraId="2F81C2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2.3播种育苗</w:t>
            </w:r>
          </w:p>
          <w:p w14:paraId="18F864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 马铃薯脱毒种薯生产技术</w:t>
            </w:r>
          </w:p>
          <w:p w14:paraId="6F0564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3.1马铃薯茎尖组织培养脱毒技术</w:t>
            </w:r>
          </w:p>
          <w:p w14:paraId="3E56D8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3.1材料的选择及准备</w:t>
            </w:r>
          </w:p>
          <w:p w14:paraId="7679F7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3.2消毒</w:t>
            </w:r>
          </w:p>
          <w:p w14:paraId="728C69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3.3剥离芽尖和接种</w:t>
            </w:r>
          </w:p>
          <w:p w14:paraId="687DAA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3.4扩繁培养后</w:t>
            </w:r>
          </w:p>
          <w:p w14:paraId="629F8E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3.5马铃薯脱毒种薯生产</w:t>
            </w:r>
          </w:p>
          <w:p w14:paraId="6F4FFB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3.6瓶苗驯化</w:t>
            </w:r>
          </w:p>
          <w:p w14:paraId="1078DA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3.7洗苗</w:t>
            </w:r>
          </w:p>
          <w:p w14:paraId="1FF33C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3.8定植</w:t>
            </w:r>
          </w:p>
          <w:p w14:paraId="58DE29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3.9</w:t>
            </w:r>
            <w:r>
              <w:rPr>
                <w:rFonts w:hint="eastAsia" w:ascii="宋体" w:hAnsi="宋体" w:eastAsia="宋体" w:cs="宋体"/>
                <w:sz w:val="24"/>
                <w:szCs w:val="32"/>
                <w:lang w:val="en-US" w:eastAsia="zh-CN"/>
              </w:rPr>
              <w:t>田间</w:t>
            </w:r>
            <w:r>
              <w:rPr>
                <w:rFonts w:hint="eastAsia" w:ascii="宋体" w:hAnsi="宋体" w:eastAsia="宋体" w:cs="宋体"/>
                <w:sz w:val="24"/>
                <w:szCs w:val="32"/>
              </w:rPr>
              <w:t>管理</w:t>
            </w:r>
          </w:p>
          <w:p w14:paraId="43C695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3.1</w:t>
            </w:r>
            <w:r>
              <w:rPr>
                <w:rFonts w:hint="eastAsia" w:ascii="宋体" w:hAnsi="宋体" w:eastAsia="宋体" w:cs="宋体"/>
                <w:sz w:val="24"/>
                <w:szCs w:val="32"/>
                <w:lang w:val="en-US" w:eastAsia="zh-CN"/>
              </w:rPr>
              <w:t>0</w:t>
            </w:r>
            <w:r>
              <w:rPr>
                <w:rFonts w:hint="eastAsia" w:ascii="宋体" w:hAnsi="宋体" w:eastAsia="宋体" w:cs="宋体"/>
                <w:sz w:val="24"/>
                <w:szCs w:val="32"/>
              </w:rPr>
              <w:t>收获与储藏</w:t>
            </w:r>
          </w:p>
          <w:p w14:paraId="454FDA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4.马铃薯花药培养诱导双单倍体技术</w:t>
            </w:r>
          </w:p>
          <w:p w14:paraId="71D188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4.1马铃薯花药培养过程</w:t>
            </w:r>
          </w:p>
          <w:p w14:paraId="30623A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4.1.1材料的选择及培养基的配置</w:t>
            </w:r>
          </w:p>
          <w:p w14:paraId="7212FB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4.1.2灭菌完成后</w:t>
            </w:r>
          </w:p>
          <w:p w14:paraId="3FD67A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4.1.3花药培养技术</w:t>
            </w:r>
          </w:p>
          <w:p w14:paraId="2DD7D2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4.2花药再生植株的移栽</w:t>
            </w:r>
          </w:p>
          <w:p w14:paraId="6222E6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4.3花药再生植株形态学鉴定</w:t>
            </w:r>
          </w:p>
          <w:p w14:paraId="18509D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马铃薯花药再生植株属于双单倍体。</w:t>
            </w:r>
          </w:p>
          <w:p w14:paraId="53DF09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lang w:eastAsia="zh-CN"/>
              </w:rPr>
            </w:pPr>
            <w:r>
              <w:rPr>
                <w:rFonts w:hint="eastAsia" w:ascii="宋体" w:hAnsi="宋体" w:eastAsia="宋体" w:cs="宋体"/>
                <w:sz w:val="24"/>
                <w:szCs w:val="32"/>
              </w:rPr>
              <w:t>4.4花药再生植株细胞学鉴定</w:t>
            </w:r>
          </w:p>
        </w:tc>
        <w:tc>
          <w:tcPr>
            <w:tcW w:w="450" w:type="dxa"/>
          </w:tcPr>
          <w:p w14:paraId="6FFF9158">
            <w:pPr>
              <w:widowControl w:val="0"/>
              <w:jc w:val="both"/>
              <w:rPr>
                <w:rFonts w:hint="default"/>
                <w:lang w:val="en-US" w:eastAsia="zh-CN"/>
              </w:rPr>
            </w:pPr>
            <w:r>
              <w:rPr>
                <w:rFonts w:hint="eastAsia"/>
                <w:lang w:val="en-US" w:eastAsia="zh-CN"/>
              </w:rPr>
              <w:t>1</w:t>
            </w:r>
          </w:p>
        </w:tc>
        <w:tc>
          <w:tcPr>
            <w:tcW w:w="449" w:type="dxa"/>
          </w:tcPr>
          <w:p w14:paraId="3A77D215">
            <w:pPr>
              <w:widowControl w:val="0"/>
              <w:jc w:val="both"/>
              <w:rPr>
                <w:rFonts w:hint="eastAsia"/>
                <w:lang w:eastAsia="zh-CN"/>
              </w:rPr>
            </w:pPr>
          </w:p>
        </w:tc>
        <w:tc>
          <w:tcPr>
            <w:tcW w:w="449" w:type="dxa"/>
          </w:tcPr>
          <w:p w14:paraId="39B4EF58">
            <w:pPr>
              <w:widowControl w:val="0"/>
              <w:jc w:val="both"/>
              <w:rPr>
                <w:rFonts w:hint="eastAsia"/>
                <w:lang w:eastAsia="zh-CN"/>
              </w:rPr>
            </w:pPr>
          </w:p>
        </w:tc>
        <w:tc>
          <w:tcPr>
            <w:tcW w:w="449" w:type="dxa"/>
          </w:tcPr>
          <w:p w14:paraId="15CF5242">
            <w:pPr>
              <w:widowControl w:val="0"/>
              <w:jc w:val="both"/>
              <w:rPr>
                <w:rFonts w:hint="eastAsia"/>
                <w:lang w:eastAsia="zh-CN"/>
              </w:rPr>
            </w:pPr>
          </w:p>
        </w:tc>
      </w:tr>
      <w:tr w14:paraId="7485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tcPr>
          <w:p w14:paraId="739F1496">
            <w:pPr>
              <w:widowControl w:val="0"/>
              <w:kinsoku/>
              <w:autoSpaceDE/>
              <w:autoSpaceDN/>
              <w:adjustRightInd/>
              <w:snapToGrid/>
              <w:spacing w:line="360" w:lineRule="auto"/>
              <w:jc w:val="both"/>
              <w:textAlignment w:val="auto"/>
              <w:rPr>
                <w:rFonts w:hint="eastAsia"/>
                <w:lang w:eastAsia="zh-CN"/>
              </w:rPr>
            </w:pPr>
            <w:r>
              <w:rPr>
                <w:rFonts w:hint="eastAsia" w:ascii="宋体" w:hAnsi="宋体" w:eastAsia="宋体" w:cs="宋体"/>
                <w:sz w:val="24"/>
                <w:szCs w:val="24"/>
              </w:rPr>
              <w:t>玉米常规品种选育仿真实训教学系统</w:t>
            </w:r>
          </w:p>
        </w:tc>
        <w:tc>
          <w:tcPr>
            <w:tcW w:w="5201" w:type="dxa"/>
          </w:tcPr>
          <w:p w14:paraId="589CDF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一、概述</w:t>
            </w:r>
          </w:p>
          <w:p w14:paraId="26447D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1.版本要求</w:t>
            </w:r>
          </w:p>
          <w:p w14:paraId="125FE0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1.1本须满足PC电脑端的使用；</w:t>
            </w:r>
          </w:p>
          <w:p w14:paraId="42A9ED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1.2PC电脑端，支持Windows7、Windows10（包括但不限于）操作系统运行。</w:t>
            </w:r>
          </w:p>
          <w:p w14:paraId="6007DD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2.美术开发要求</w:t>
            </w:r>
          </w:p>
          <w:p w14:paraId="7BC854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模型制作：本采用3DsMax建模开发工具，构建与实物高仿真度的模型、角色。模型要求进行烘焙处理，生成带有阴影、高光、反射及法线的写实效果的贴图；贴图要求色彩协调，明暗合理，冷暖适当，达到较好的视觉效果；</w:t>
            </w:r>
          </w:p>
          <w:p w14:paraId="2BFC6B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场景制作：本围绕真实环境进行场景建设，真实地反映环境、设施状态，主相机内视野场景由近到远有自然过渡的效果；可对场景模型进行实时顶点优化，根据视觉效果调整优化比例，减少数据量，提高运行效率。</w:t>
            </w:r>
          </w:p>
          <w:p w14:paraId="5F60AEB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二、实训内容</w:t>
            </w:r>
          </w:p>
          <w:p w14:paraId="159A80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1.播种前准备</w:t>
            </w:r>
          </w:p>
          <w:p w14:paraId="6CB7100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1.1实验思维图</w:t>
            </w:r>
          </w:p>
          <w:p w14:paraId="589294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选育自交系——组配杂交种——获得目标性状和更稳定产量</w:t>
            </w:r>
          </w:p>
          <w:p w14:paraId="371EC1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1.2田间育种的试验设计方法</w:t>
            </w:r>
          </w:p>
          <w:p w14:paraId="00C95A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采用随机区组法进行育种试验。</w:t>
            </w:r>
          </w:p>
          <w:p w14:paraId="12C0AF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1.3田间布置</w:t>
            </w:r>
          </w:p>
          <w:p w14:paraId="2943B6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lang w:val="en-US" w:eastAsia="zh-CN"/>
              </w:rPr>
              <w:t>掌握</w:t>
            </w:r>
            <w:r>
              <w:rPr>
                <w:rFonts w:hint="eastAsia" w:ascii="宋体" w:hAnsi="宋体" w:eastAsia="宋体" w:cs="宋体"/>
                <w:sz w:val="24"/>
                <w:szCs w:val="32"/>
              </w:rPr>
              <w:t>行距、株距、行长、每行株数</w:t>
            </w:r>
            <w:r>
              <w:rPr>
                <w:rFonts w:hint="eastAsia" w:ascii="宋体" w:hAnsi="宋体" w:eastAsia="宋体" w:cs="宋体"/>
                <w:sz w:val="24"/>
                <w:szCs w:val="32"/>
                <w:lang w:val="en-US" w:eastAsia="zh-CN"/>
              </w:rPr>
              <w:t>及</w:t>
            </w:r>
            <w:r>
              <w:rPr>
                <w:rFonts w:hint="eastAsia" w:ascii="宋体" w:hAnsi="宋体" w:eastAsia="宋体" w:cs="宋体"/>
                <w:sz w:val="24"/>
                <w:szCs w:val="32"/>
              </w:rPr>
              <w:t>小区行数。</w:t>
            </w:r>
          </w:p>
          <w:p w14:paraId="760EC4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1.4种子准备</w:t>
            </w:r>
          </w:p>
          <w:p w14:paraId="023477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1.4.1准备流程</w:t>
            </w:r>
          </w:p>
          <w:p w14:paraId="196D98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数粒→装袋→随机排列→编号→区划图</w:t>
            </w:r>
          </w:p>
          <w:p w14:paraId="6DFAA8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1.5选地</w:t>
            </w:r>
          </w:p>
          <w:p w14:paraId="2D901DB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1.6整地</w:t>
            </w:r>
          </w:p>
          <w:p w14:paraId="438462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2.自交系选育</w:t>
            </w:r>
          </w:p>
          <w:p w14:paraId="3B58A5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2.1试验圃</w:t>
            </w:r>
          </w:p>
          <w:p w14:paraId="2C8C86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种质资源圃-亲本圃-选种圃-鉴定圃</w:t>
            </w:r>
          </w:p>
          <w:p w14:paraId="5007B1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2.2主要任务</w:t>
            </w:r>
          </w:p>
          <w:p w14:paraId="494285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在种质资源圃中主要进行基本材料的种植与选择基本株自交等工作。地方品种、推广品种、各类杂交种、综合品种或人工合成的群体，都可以作为分离自交系的基本材料。</w:t>
            </w:r>
          </w:p>
          <w:p w14:paraId="009EC6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2.3特点</w:t>
            </w:r>
          </w:p>
          <w:p w14:paraId="59358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2.4选育流程</w:t>
            </w:r>
          </w:p>
          <w:p w14:paraId="48967C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2.5杂交圃</w:t>
            </w:r>
          </w:p>
          <w:p w14:paraId="2FBBF5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采集花粉，并对雌花上的大袋进行封口。</w:t>
            </w:r>
          </w:p>
          <w:p w14:paraId="2DA7A3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2.6选种圃</w:t>
            </w:r>
          </w:p>
          <w:p w14:paraId="7DC330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进行人工自交，在性状分离群体中选择理想单株多代自交，直至分离得到基因型纯合、表现型一致的自交系。</w:t>
            </w:r>
          </w:p>
          <w:p w14:paraId="6F5954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2.7测交种鉴定圃</w:t>
            </w:r>
          </w:p>
          <w:p w14:paraId="378A1F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分离自交系的目的是用来组配强优势的杂种。但是，通过目测鉴定选出的经济性状好。</w:t>
            </w:r>
          </w:p>
          <w:p w14:paraId="0E7FC7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2.7.1配合力</w:t>
            </w:r>
          </w:p>
          <w:p w14:paraId="47C795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指一个亲本与另外的亲本杂交后，杂种一代的生产力或其他性状指标的大小。</w:t>
            </w:r>
          </w:p>
          <w:p w14:paraId="4DBAF3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2.7.2一般配合力( general combining ability，GCA)</w:t>
            </w:r>
          </w:p>
          <w:p w14:paraId="16AB0B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指一个纯系（自交系）亲本与其他若干个品种（自交系）杂交后，其杂种一代在某个数量性状上的平均表现。</w:t>
            </w:r>
          </w:p>
          <w:p w14:paraId="37810A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2.7.3特殊配合力( special combining ability，SCA)</w:t>
            </w:r>
          </w:p>
          <w:p w14:paraId="14462B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指两个特定亲本系所组配的杂交种的产量水平。</w:t>
            </w:r>
          </w:p>
          <w:p w14:paraId="662279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2.7.4测验种的选择</w:t>
            </w:r>
          </w:p>
          <w:p w14:paraId="3CD8D8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测验种的选择直接影响测定配合力的结果，一般配合力测定计算。</w:t>
            </w:r>
          </w:p>
          <w:p w14:paraId="422B8D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2.7.</w:t>
            </w:r>
            <w:r>
              <w:rPr>
                <w:rFonts w:hint="eastAsia" w:ascii="宋体" w:hAnsi="宋体" w:eastAsia="宋体" w:cs="宋体"/>
                <w:sz w:val="24"/>
                <w:szCs w:val="32"/>
                <w:lang w:val="en-US" w:eastAsia="zh-CN"/>
              </w:rPr>
              <w:t>5</w:t>
            </w:r>
            <w:r>
              <w:rPr>
                <w:rFonts w:hint="eastAsia" w:ascii="宋体" w:hAnsi="宋体" w:eastAsia="宋体" w:cs="宋体"/>
                <w:sz w:val="24"/>
                <w:szCs w:val="32"/>
              </w:rPr>
              <w:t>胚</w:t>
            </w:r>
          </w:p>
          <w:p w14:paraId="1A726F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胚是白色，胚乳是紫色为合格的单倍体，挑出未染色的幼胚放入植株生长培养基，并进行炼苗，将它们移栽，生长表现为参差不齐。</w:t>
            </w:r>
          </w:p>
          <w:p w14:paraId="41CADF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3.杂交种选育</w:t>
            </w:r>
          </w:p>
          <w:p w14:paraId="149422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lang w:eastAsia="zh-CN"/>
              </w:rPr>
            </w:pPr>
            <w:r>
              <w:rPr>
                <w:rFonts w:hint="eastAsia" w:ascii="宋体" w:hAnsi="宋体" w:eastAsia="宋体" w:cs="宋体"/>
                <w:sz w:val="24"/>
                <w:szCs w:val="32"/>
              </w:rPr>
              <w:t>在F1种植区，进行初配组合</w:t>
            </w:r>
            <w:r>
              <w:rPr>
                <w:rFonts w:hint="eastAsia" w:ascii="宋体" w:hAnsi="宋体" w:eastAsia="宋体" w:cs="宋体"/>
                <w:sz w:val="24"/>
                <w:szCs w:val="32"/>
                <w:lang w:eastAsia="zh-CN"/>
              </w:rPr>
              <w:t>。</w:t>
            </w:r>
          </w:p>
          <w:p w14:paraId="3F5EB5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3.1淘汰不良组合</w:t>
            </w:r>
          </w:p>
          <w:p w14:paraId="1409FA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植株会表现为倒伏，病害大斑病、丝黑穗、瘤黑粉，青枯病，黑色小虫子，高矮差距大，整齐一致，穗位高低不同等不同状态。</w:t>
            </w:r>
          </w:p>
          <w:p w14:paraId="1DDC03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3.2品种比较试验</w:t>
            </w:r>
          </w:p>
          <w:p w14:paraId="61F968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3.2.1室内考种鉴定</w:t>
            </w:r>
          </w:p>
          <w:p w14:paraId="2A586F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3.3区域试验</w:t>
            </w:r>
          </w:p>
          <w:p w14:paraId="62F274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3.3.1随机区组设计品比试验结果的方差分析</w:t>
            </w:r>
          </w:p>
          <w:p w14:paraId="0ABCB4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在品比试验中各小区产量的差异是受</w:t>
            </w:r>
            <w:r>
              <w:rPr>
                <w:rFonts w:hint="eastAsia" w:ascii="宋体" w:hAnsi="宋体" w:eastAsia="宋体" w:cs="宋体"/>
                <w:sz w:val="24"/>
                <w:szCs w:val="32"/>
                <w:lang w:val="en-US" w:eastAsia="zh-CN"/>
              </w:rPr>
              <w:t>多种</w:t>
            </w:r>
            <w:r>
              <w:rPr>
                <w:rFonts w:hint="eastAsia" w:ascii="宋体" w:hAnsi="宋体" w:eastAsia="宋体" w:cs="宋体"/>
                <w:sz w:val="24"/>
                <w:szCs w:val="32"/>
              </w:rPr>
              <w:t>因素影响的。随机排列设计的品比试验结果可以用方差分析法进行分析，用方差来度量各种因素引起的变异，并通过该分析方法比较参试品种间差异是否显著。</w:t>
            </w:r>
          </w:p>
          <w:p w14:paraId="5370AC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3.3.2平方和的分解</w:t>
            </w:r>
          </w:p>
          <w:p w14:paraId="54D48F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3.3.3亲本自交系的繁殖</w:t>
            </w:r>
          </w:p>
          <w:p w14:paraId="3E080E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为了隔离安全，时间空间隔离方法结合使用，效果更好。</w:t>
            </w:r>
          </w:p>
          <w:p w14:paraId="5014C4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4.玉米制种技术</w:t>
            </w:r>
          </w:p>
          <w:p w14:paraId="77FB2E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为了保证杂交玉米的制种质量 ，必须严格做好以下几个主要技术环节</w:t>
            </w:r>
          </w:p>
          <w:p w14:paraId="7881EE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4.1父母本自交系的繁种比例大致为1：4——1：8</w:t>
            </w:r>
          </w:p>
          <w:p w14:paraId="04164D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有雄穗的玉米在窄的部分种有雄穗，宽的部分种没有雄穗的玉米，去雄操作，去除母本区域的雄花，父本散粉后一周，需要先将父本整个植株割除。</w:t>
            </w:r>
          </w:p>
          <w:p w14:paraId="48A92F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5.田间收获</w:t>
            </w:r>
          </w:p>
          <w:p w14:paraId="782C78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5.1流程</w:t>
            </w:r>
          </w:p>
          <w:p w14:paraId="2F965B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收获时在种植自交系的小区内挑选确定收获的单株，装于网袋中，写好标签置于袋中，运回晒干，单独脱粒和保存，无需测产。</w:t>
            </w:r>
          </w:p>
          <w:p w14:paraId="44B1AA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5.2杂交种收获方法</w:t>
            </w:r>
          </w:p>
          <w:p w14:paraId="730346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如果是不同时期成熟，保护区（行）和小区边行保留到最后收，各小区先成熟先收获，后成熟后收获。在田间观察记载表上记录各小区的收获日期和收获物鲜重。</w:t>
            </w:r>
          </w:p>
          <w:p w14:paraId="34DE77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5.3收获时常见问题</w:t>
            </w:r>
          </w:p>
          <w:p w14:paraId="62D392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lang w:eastAsia="zh-CN"/>
              </w:rPr>
            </w:pPr>
            <w:r>
              <w:rPr>
                <w:rFonts w:hint="eastAsia" w:ascii="宋体" w:hAnsi="宋体" w:eastAsia="宋体" w:cs="宋体"/>
                <w:sz w:val="24"/>
                <w:szCs w:val="32"/>
              </w:rPr>
              <w:t>常见问题有：人为混杂，机械混杂，边际效应。</w:t>
            </w:r>
          </w:p>
        </w:tc>
        <w:tc>
          <w:tcPr>
            <w:tcW w:w="450" w:type="dxa"/>
          </w:tcPr>
          <w:p w14:paraId="161D6FF1">
            <w:pPr>
              <w:widowControl w:val="0"/>
              <w:jc w:val="both"/>
              <w:rPr>
                <w:rFonts w:hint="default"/>
                <w:lang w:val="en-US" w:eastAsia="zh-CN"/>
              </w:rPr>
            </w:pPr>
            <w:r>
              <w:rPr>
                <w:rFonts w:hint="eastAsia"/>
                <w:lang w:val="en-US" w:eastAsia="zh-CN"/>
              </w:rPr>
              <w:t>1</w:t>
            </w:r>
          </w:p>
        </w:tc>
        <w:tc>
          <w:tcPr>
            <w:tcW w:w="449" w:type="dxa"/>
          </w:tcPr>
          <w:p w14:paraId="025C212F">
            <w:pPr>
              <w:widowControl w:val="0"/>
              <w:jc w:val="both"/>
              <w:rPr>
                <w:rFonts w:hint="eastAsia"/>
                <w:lang w:eastAsia="zh-CN"/>
              </w:rPr>
            </w:pPr>
          </w:p>
        </w:tc>
        <w:tc>
          <w:tcPr>
            <w:tcW w:w="449" w:type="dxa"/>
          </w:tcPr>
          <w:p w14:paraId="6FAA6178">
            <w:pPr>
              <w:widowControl w:val="0"/>
              <w:jc w:val="both"/>
              <w:rPr>
                <w:rFonts w:hint="eastAsia"/>
                <w:lang w:eastAsia="zh-CN"/>
              </w:rPr>
            </w:pPr>
          </w:p>
        </w:tc>
        <w:tc>
          <w:tcPr>
            <w:tcW w:w="449" w:type="dxa"/>
          </w:tcPr>
          <w:p w14:paraId="3C587340">
            <w:pPr>
              <w:widowControl w:val="0"/>
              <w:jc w:val="both"/>
              <w:rPr>
                <w:rFonts w:hint="eastAsia"/>
                <w:lang w:eastAsia="zh-CN"/>
              </w:rPr>
            </w:pPr>
          </w:p>
        </w:tc>
      </w:tr>
      <w:tr w14:paraId="4DFF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tcPr>
          <w:p w14:paraId="60E95FEE">
            <w:pPr>
              <w:widowControl w:val="0"/>
              <w:kinsoku/>
              <w:autoSpaceDE/>
              <w:autoSpaceDN/>
              <w:adjustRightInd/>
              <w:snapToGrid/>
              <w:spacing w:line="360" w:lineRule="auto"/>
              <w:jc w:val="both"/>
              <w:textAlignment w:val="auto"/>
              <w:rPr>
                <w:rFonts w:hint="eastAsia"/>
                <w:lang w:eastAsia="zh-CN"/>
              </w:rPr>
            </w:pPr>
            <w:bookmarkStart w:id="3" w:name="_Hlk213877725"/>
            <w:r>
              <w:rPr>
                <w:rFonts w:hint="eastAsia" w:ascii="宋体" w:hAnsi="宋体" w:eastAsia="宋体" w:cs="宋体"/>
                <w:sz w:val="24"/>
                <w:szCs w:val="24"/>
              </w:rPr>
              <w:t>大豆常规品种选育仿真实训教学系统</w:t>
            </w:r>
          </w:p>
        </w:tc>
        <w:tc>
          <w:tcPr>
            <w:tcW w:w="5201" w:type="dxa"/>
          </w:tcPr>
          <w:p w14:paraId="47EF81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一、概述</w:t>
            </w:r>
          </w:p>
          <w:p w14:paraId="1A501B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1.版本要求</w:t>
            </w:r>
          </w:p>
          <w:p w14:paraId="2BDD63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1.1本须满足PC电脑端的使用；</w:t>
            </w:r>
          </w:p>
          <w:p w14:paraId="373AF2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1.2PC电脑端，支持Windows7、Windows10（包括但不限于）操作系统运行。</w:t>
            </w:r>
          </w:p>
          <w:p w14:paraId="163D0F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2.美术开发要求</w:t>
            </w:r>
          </w:p>
          <w:p w14:paraId="4ADD47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模型制作：本采用3DsMax建模开发工具，构建与实物高仿真度的模型、角色。模型要求进行烘焙处理，生成带有阴影、高光、反射及法线的写实效果的贴图；贴图要求色彩协调，明暗合理，冷暖适当，达到较好的视觉效果；</w:t>
            </w:r>
          </w:p>
          <w:p w14:paraId="710DC6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场景制作：本围绕真实环境进行场景建设，真实地反映环境、设施状态，主相机内视野场景由近到远有自然过渡的效果；可对场景模型进行实时顶点优化，根据视觉效果调整优化比例，减少数据量，提高运行效率。</w:t>
            </w:r>
          </w:p>
          <w:p w14:paraId="467B1C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二、实训内容</w:t>
            </w:r>
          </w:p>
          <w:p w14:paraId="5F48DD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1.育种目标</w:t>
            </w:r>
          </w:p>
          <w:p w14:paraId="5C175C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大豆常见育种目标分为：产量及品质性状，大豆抗病虫性状，大豆耐逆性状，生育期性状，适用于机械作业特性。</w:t>
            </w:r>
          </w:p>
          <w:p w14:paraId="74B7C2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1.1亲本选择的原则</w:t>
            </w:r>
          </w:p>
          <w:p w14:paraId="7F0CA1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围绕育种目标，集聚基因的累加效应创造超高亲品种，大量收集亲本资源，根据目标性状的表现优劣，决选骨干亲本。</w:t>
            </w:r>
          </w:p>
          <w:p w14:paraId="0AD925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2.育种方法</w:t>
            </w:r>
          </w:p>
          <w:p w14:paraId="3CABD01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大豆间杂交，地理远缘，性状互补。</w:t>
            </w:r>
          </w:p>
          <w:p w14:paraId="10244A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2.1杂交育种</w:t>
            </w:r>
          </w:p>
          <w:p w14:paraId="4C0A65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通过人工杂交选育，可以使父、母本的基因重新组合，形成不同的基因型，选育出多种后代，不同后代可以将优良微基因积累，可能出现比亲本优良的性状，或通过基因互作，产生亲本不具备的新性状。另外，常规育种方法简单，但大豆是闭花授粉作物，人工常规育种时需要保持良好的温度、湿度，只有这样才能提高人工杂交成活率。另外，常规人工杂交的育种周期长，需要通过后代的几代选择才能选育出好的材料。</w:t>
            </w:r>
          </w:p>
          <w:p w14:paraId="1A805E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3.大豆属性</w:t>
            </w:r>
          </w:p>
          <w:p w14:paraId="680F8C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3.1授粉能力</w:t>
            </w:r>
          </w:p>
          <w:p w14:paraId="157801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大豆花冠开放前一天，整个花冠由旗瓣紧裹，稻粒大小，微露于花萼之中，此时柱头已成熟具有良好的接受花粉的能力。</w:t>
            </w:r>
          </w:p>
          <w:p w14:paraId="17D4FF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3.2花粉存活时间</w:t>
            </w:r>
          </w:p>
          <w:p w14:paraId="0E7149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成熟迟于柱头，在开花前一天的半夜或开花日凌晨才具有正常授精能力。</w:t>
            </w:r>
          </w:p>
          <w:p w14:paraId="619921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3.3结荚类型</w:t>
            </w:r>
          </w:p>
          <w:p w14:paraId="3AE114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4.杂交技术</w:t>
            </w:r>
          </w:p>
          <w:p w14:paraId="5B2B86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4.1试验田选择</w:t>
            </w:r>
          </w:p>
          <w:p w14:paraId="435876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4.2设置田间种植图</w:t>
            </w:r>
          </w:p>
          <w:p w14:paraId="635932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4.3植株的选择</w:t>
            </w:r>
          </w:p>
          <w:p w14:paraId="060FE1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lang w:val="en-US" w:eastAsia="zh-CN"/>
              </w:rPr>
              <w:t>适合黑龙江省种植的</w:t>
            </w:r>
            <w:r>
              <w:rPr>
                <w:rFonts w:hint="eastAsia" w:ascii="宋体" w:hAnsi="宋体" w:eastAsia="宋体" w:cs="宋体"/>
                <w:sz w:val="24"/>
                <w:szCs w:val="32"/>
              </w:rPr>
              <w:t>株型：</w:t>
            </w:r>
          </w:p>
          <w:p w14:paraId="0E1E13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4.4去雄授粉</w:t>
            </w:r>
          </w:p>
          <w:p w14:paraId="1527C3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花蕾期进行去雄</w:t>
            </w:r>
          </w:p>
          <w:p w14:paraId="3404C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5.变异后代圃</w:t>
            </w:r>
          </w:p>
          <w:p w14:paraId="53F31D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选择后代圃的大豆，不能混杂。</w:t>
            </w:r>
          </w:p>
          <w:p w14:paraId="35972E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5.1混合选择法</w:t>
            </w:r>
          </w:p>
          <w:p w14:paraId="24984A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是从品种群体中，根据一定的表现性状</w:t>
            </w:r>
            <w:r>
              <w:rPr>
                <w:rFonts w:hint="eastAsia" w:ascii="宋体" w:hAnsi="宋体" w:eastAsia="宋体" w:cs="宋体"/>
                <w:sz w:val="24"/>
                <w:szCs w:val="32"/>
                <w:lang w:val="en-US" w:eastAsia="zh-CN"/>
              </w:rPr>
              <w:t>进行选种的方法</w:t>
            </w:r>
            <w:r>
              <w:rPr>
                <w:rFonts w:hint="eastAsia" w:ascii="宋体" w:hAnsi="宋体" w:eastAsia="宋体" w:cs="宋体"/>
                <w:sz w:val="24"/>
                <w:szCs w:val="32"/>
              </w:rPr>
              <w:t>。对于一些高遗传力的性状的选择非常有效。</w:t>
            </w:r>
          </w:p>
          <w:p w14:paraId="7349FA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w:t>
            </w:r>
            <w:r>
              <w:rPr>
                <w:rFonts w:hint="eastAsia" w:ascii="宋体" w:hAnsi="宋体" w:eastAsia="宋体" w:cs="宋体"/>
                <w:sz w:val="24"/>
                <w:szCs w:val="32"/>
                <w:lang w:val="en-US" w:eastAsia="zh-CN"/>
              </w:rPr>
              <w:t>2</w:t>
            </w:r>
            <w:r>
              <w:rPr>
                <w:rFonts w:hint="eastAsia" w:ascii="宋体" w:hAnsi="宋体" w:eastAsia="宋体" w:cs="宋体"/>
                <w:sz w:val="24"/>
                <w:szCs w:val="32"/>
              </w:rPr>
              <w:t>单籽传代法</w:t>
            </w:r>
          </w:p>
          <w:p w14:paraId="46BCA9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从F2(或者F3)开始，每一代从每一-单株取一粒种子播种下1代。每代不进行选择，至F4-F5代个体足够纯合再去繁殖品系进行株系间的比较鉴定。</w:t>
            </w:r>
          </w:p>
          <w:p w14:paraId="334BE9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6.鉴定圃</w:t>
            </w:r>
          </w:p>
          <w:p w14:paraId="645F28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将选育后的品种放到田间、病圃、高水肥地区进行种植，多代品质跟踪分析。</w:t>
            </w:r>
          </w:p>
          <w:p w14:paraId="4C3E1B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7.品种审定</w:t>
            </w:r>
          </w:p>
          <w:p w14:paraId="168DA9A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lang w:eastAsia="zh-CN"/>
              </w:rPr>
            </w:pPr>
            <w:r>
              <w:rPr>
                <w:rFonts w:hint="eastAsia" w:ascii="宋体" w:hAnsi="宋体" w:eastAsia="宋体" w:cs="宋体"/>
                <w:sz w:val="24"/>
                <w:szCs w:val="32"/>
              </w:rPr>
              <w:t>采用良种良法配套，试验示范结合，不断扩大良种推广面积。最终得到杂交品系。</w:t>
            </w:r>
          </w:p>
        </w:tc>
        <w:tc>
          <w:tcPr>
            <w:tcW w:w="450" w:type="dxa"/>
          </w:tcPr>
          <w:p w14:paraId="69716BDE">
            <w:pPr>
              <w:widowControl w:val="0"/>
              <w:jc w:val="both"/>
              <w:rPr>
                <w:rFonts w:hint="default"/>
                <w:lang w:val="en-US" w:eastAsia="zh-CN"/>
              </w:rPr>
            </w:pPr>
            <w:r>
              <w:rPr>
                <w:rFonts w:hint="eastAsia"/>
                <w:lang w:val="en-US" w:eastAsia="zh-CN"/>
              </w:rPr>
              <w:t>1</w:t>
            </w:r>
          </w:p>
        </w:tc>
        <w:tc>
          <w:tcPr>
            <w:tcW w:w="449" w:type="dxa"/>
          </w:tcPr>
          <w:p w14:paraId="3F440DAC">
            <w:pPr>
              <w:widowControl w:val="0"/>
              <w:jc w:val="both"/>
              <w:rPr>
                <w:rFonts w:hint="eastAsia"/>
                <w:lang w:eastAsia="zh-CN"/>
              </w:rPr>
            </w:pPr>
          </w:p>
        </w:tc>
        <w:tc>
          <w:tcPr>
            <w:tcW w:w="449" w:type="dxa"/>
          </w:tcPr>
          <w:p w14:paraId="3B876D1C">
            <w:pPr>
              <w:widowControl w:val="0"/>
              <w:jc w:val="both"/>
              <w:rPr>
                <w:rFonts w:hint="eastAsia"/>
                <w:lang w:eastAsia="zh-CN"/>
              </w:rPr>
            </w:pPr>
          </w:p>
        </w:tc>
        <w:tc>
          <w:tcPr>
            <w:tcW w:w="449" w:type="dxa"/>
          </w:tcPr>
          <w:p w14:paraId="5F5537EF">
            <w:pPr>
              <w:widowControl w:val="0"/>
              <w:jc w:val="both"/>
              <w:rPr>
                <w:rFonts w:hint="eastAsia"/>
                <w:lang w:eastAsia="zh-CN"/>
              </w:rPr>
            </w:pPr>
          </w:p>
        </w:tc>
      </w:tr>
      <w:tr w14:paraId="1221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tcPr>
          <w:p w14:paraId="603834FC">
            <w:pPr>
              <w:widowControl w:val="0"/>
              <w:kinsoku/>
              <w:autoSpaceDE/>
              <w:autoSpaceDN/>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color w:val="auto"/>
                <w:sz w:val="24"/>
                <w:szCs w:val="24"/>
                <w:lang w:val="en-US" w:eastAsia="zh-CN"/>
              </w:rPr>
              <w:t>实验室安全</w:t>
            </w:r>
            <w:r>
              <w:rPr>
                <w:rFonts w:hint="eastAsia" w:ascii="宋体" w:hAnsi="宋体" w:eastAsia="宋体" w:cs="宋体"/>
                <w:color w:val="auto"/>
                <w:sz w:val="24"/>
                <w:szCs w:val="24"/>
              </w:rPr>
              <w:t>仿真实训教学系统</w:t>
            </w:r>
          </w:p>
        </w:tc>
        <w:tc>
          <w:tcPr>
            <w:tcW w:w="5201" w:type="dxa"/>
          </w:tcPr>
          <w:p w14:paraId="2EE5C86D">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1.版本要求：</w:t>
            </w:r>
          </w:p>
          <w:p w14:paraId="1052B645">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1.1软件须满足PC电脑端的使用；</w:t>
            </w:r>
          </w:p>
          <w:p w14:paraId="46ACD7FC">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1.2PC电脑端，支持Windows7、Windows10（包括但不限于）操作系统运行；</w:t>
            </w:r>
          </w:p>
          <w:p w14:paraId="5C244738">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1.3软件登录，支持使用不同的身份登录软件，包括系统管理员、教师、学生，不同的身份具有不同的操作权限。</w:t>
            </w:r>
          </w:p>
          <w:p w14:paraId="4CEF910D">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2.交互开发要求：</w:t>
            </w:r>
          </w:p>
          <w:p w14:paraId="78858898">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2.1采用键盘、鼠标进行操作；</w:t>
            </w:r>
          </w:p>
          <w:p w14:paraId="4AFC8DBA">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2.2采用特定视角的观察方式，在场景中可自由操作可控制对象。</w:t>
            </w:r>
          </w:p>
          <w:p w14:paraId="55F6D51D">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3.美术开发要求：</w:t>
            </w:r>
          </w:p>
          <w:p w14:paraId="02EAC644">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3.1模型制作：采用3Ds Max建模开发工具，构建与实物高仿真度的模型、角色。模型要求进行烘焙处理，生成带有阴影、高光、反射及法线的写实效果的贴图；贴图要求色彩协调，明暗合理，冷暖适当，达到较好的视觉效果。</w:t>
            </w:r>
          </w:p>
          <w:p w14:paraId="02094C2A">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3.2场景制作：围绕真实环境进行场景建设，真实的反应环境、设施状态，主相机内视野场景由近到远有自然过渡的效果；可对场景模型进行实时顶点优化，根据视觉效果调整优化比例，减少数据量，提高运行效率。</w:t>
            </w:r>
          </w:p>
          <w:p w14:paraId="6FB811ED">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4.内容开发要求：</w:t>
            </w:r>
          </w:p>
          <w:p w14:paraId="457663DE">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4.1实训内容分为练习模式、考核模式；</w:t>
            </w:r>
          </w:p>
          <w:p w14:paraId="0FB03ED0">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4.2进入练习模式后，提供模块总览界面，可分模块进行练习，带有模块成绩统计，无总成绩统计；</w:t>
            </w:r>
          </w:p>
          <w:p w14:paraId="3B2C3DBB">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4.3进入考核模式后，直接进行学习内容的考核，完成考核，可查看考核成绩。</w:t>
            </w:r>
          </w:p>
          <w:p w14:paraId="0D44CBC4">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二、 实训内容</w:t>
            </w:r>
          </w:p>
          <w:p w14:paraId="0B6521D5">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将模拟实验室操作过程中，可能出现的电器失火情况，点击实验室灭火物品进行交互，并在限定时间内完成灭火。</w:t>
            </w:r>
          </w:p>
          <w:p w14:paraId="13E6F62F">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软件中提供的灭火工具为：灭火毯、湿抹布、消防柜、水</w:t>
            </w:r>
            <w:r>
              <w:rPr>
                <w:rFonts w:hint="eastAsia"/>
                <w:lang w:val="en-US" w:eastAsia="zh-CN"/>
              </w:rPr>
              <w:t>等</w:t>
            </w:r>
            <w:r>
              <w:rPr>
                <w:rFonts w:hint="eastAsia"/>
                <w:lang w:eastAsia="zh-CN"/>
              </w:rPr>
              <w:t>。按照正确操作进行，则火势逐渐减小，选择错误后，系统将会判定错误操作进行扣分，并给出错误解释。</w:t>
            </w:r>
          </w:p>
          <w:p w14:paraId="2DC1B1D3">
            <w:pPr>
              <w:widowControl w:val="0"/>
              <w:kinsoku/>
              <w:autoSpaceDE/>
              <w:autoSpaceDN/>
              <w:adjustRightInd/>
              <w:snapToGrid/>
              <w:spacing w:line="360" w:lineRule="auto"/>
              <w:ind w:firstLine="420" w:firstLineChars="200"/>
              <w:jc w:val="both"/>
              <w:textAlignment w:val="auto"/>
              <w:rPr>
                <w:rFonts w:hint="eastAsia"/>
                <w:lang w:eastAsia="zh-CN"/>
              </w:rPr>
            </w:pPr>
            <w:r>
              <w:rPr>
                <w:rFonts w:hint="eastAsia"/>
                <w:lang w:eastAsia="zh-CN"/>
              </w:rPr>
              <w:t>学生按照物品使用时的正确灭火步骤进行操作，了解不同灭火工具的适用范围，系统根据时间限定及操作规范给出得分。</w:t>
            </w:r>
          </w:p>
        </w:tc>
        <w:tc>
          <w:tcPr>
            <w:tcW w:w="450" w:type="dxa"/>
          </w:tcPr>
          <w:p w14:paraId="43377C4B">
            <w:pPr>
              <w:widowControl w:val="0"/>
              <w:jc w:val="both"/>
              <w:rPr>
                <w:rFonts w:hint="default"/>
                <w:lang w:val="en-US" w:eastAsia="zh-CN"/>
              </w:rPr>
            </w:pPr>
            <w:r>
              <w:rPr>
                <w:rFonts w:hint="eastAsia"/>
                <w:lang w:val="en-US" w:eastAsia="zh-CN"/>
              </w:rPr>
              <w:t>1</w:t>
            </w:r>
          </w:p>
        </w:tc>
        <w:tc>
          <w:tcPr>
            <w:tcW w:w="449" w:type="dxa"/>
          </w:tcPr>
          <w:p w14:paraId="006224FB">
            <w:pPr>
              <w:widowControl w:val="0"/>
              <w:jc w:val="both"/>
              <w:rPr>
                <w:rFonts w:hint="eastAsia"/>
                <w:lang w:eastAsia="zh-CN"/>
              </w:rPr>
            </w:pPr>
          </w:p>
        </w:tc>
        <w:tc>
          <w:tcPr>
            <w:tcW w:w="449" w:type="dxa"/>
          </w:tcPr>
          <w:p w14:paraId="47F5F553">
            <w:pPr>
              <w:widowControl w:val="0"/>
              <w:jc w:val="both"/>
              <w:rPr>
                <w:rFonts w:hint="eastAsia"/>
                <w:lang w:eastAsia="zh-CN"/>
              </w:rPr>
            </w:pPr>
          </w:p>
        </w:tc>
        <w:tc>
          <w:tcPr>
            <w:tcW w:w="449" w:type="dxa"/>
          </w:tcPr>
          <w:p w14:paraId="6356FB46">
            <w:pPr>
              <w:widowControl w:val="0"/>
              <w:jc w:val="both"/>
              <w:rPr>
                <w:rFonts w:hint="eastAsia"/>
                <w:lang w:eastAsia="zh-CN"/>
              </w:rPr>
            </w:pPr>
          </w:p>
        </w:tc>
      </w:tr>
      <w:tr w14:paraId="5026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tcPr>
          <w:p w14:paraId="1BC5C19E">
            <w:pPr>
              <w:widowControl w:val="0"/>
              <w:kinsoku/>
              <w:autoSpaceDE/>
              <w:autoSpaceDN/>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寒地粳稻常规育种仿真实训系统</w:t>
            </w:r>
          </w:p>
        </w:tc>
        <w:tc>
          <w:tcPr>
            <w:tcW w:w="5201" w:type="dxa"/>
          </w:tcPr>
          <w:p w14:paraId="2C1987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一、概述</w:t>
            </w:r>
          </w:p>
          <w:p w14:paraId="005011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1.版本要求</w:t>
            </w:r>
          </w:p>
          <w:p w14:paraId="6C3D7A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1.1本须满足PC电脑端的使用；</w:t>
            </w:r>
          </w:p>
          <w:p w14:paraId="6047BE0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1.2PC电脑端，支持Windows7、Windows10（包括但不限于）操作系统运行。</w:t>
            </w:r>
          </w:p>
          <w:p w14:paraId="54C413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2.美术开发要求</w:t>
            </w:r>
          </w:p>
          <w:p w14:paraId="5FE4C4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模型制作：本采用3DsMax建模开发工具，构建与实物高仿真度的模型、角色。模型要求进行烘焙处理，生成带有阴影、高光、反射及法线的写实效果的贴图；贴图要求色彩协调，明暗合理，冷暖适当，达到较好的视觉效果；</w:t>
            </w:r>
          </w:p>
          <w:p w14:paraId="35AB67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场景制作：围绕真实环境进行场景建设，真实地反映环境、设施状态，主相机内视野场景由近到远有自然过渡的效果；可对场景模型进行实时顶点优化，根据视觉效果调整优化比例，减少数据量，提高运行效率。</w:t>
            </w:r>
          </w:p>
          <w:p w14:paraId="750171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二、实训内容</w:t>
            </w:r>
          </w:p>
          <w:p w14:paraId="6EC5B7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1.育种前准备工作</w:t>
            </w:r>
          </w:p>
          <w:p w14:paraId="1FE239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1.1订制育种目标任务详情：根据现代农业对作物品种的要求和育种原则，确定育种目标。1.1.1现代作物育种的主要目标高产；优质；稳产；生育期适宜；适应机械化需要。</w:t>
            </w:r>
          </w:p>
          <w:p w14:paraId="23D45F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1.1.2制订作物育种目标的原则</w:t>
            </w:r>
          </w:p>
          <w:p w14:paraId="0DCB10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1.1.3确定育种目标</w:t>
            </w:r>
          </w:p>
          <w:p w14:paraId="20A5DF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1.2原始材料的筛选任务详情：根据育种者的育种目标和方向，确定亲本材料。</w:t>
            </w:r>
          </w:p>
          <w:p w14:paraId="7AC45C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1.2.1杂交育种的指导思想</w:t>
            </w:r>
          </w:p>
          <w:p w14:paraId="18A3F4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1.2.2选配亲本的原则</w:t>
            </w:r>
          </w:p>
          <w:p w14:paraId="293404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亲本圃→选种圃→鉴定圃→品系比较试验→品种区域试验和生产试验</w:t>
            </w:r>
          </w:p>
          <w:p w14:paraId="73930C4D">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亲本材料处理</w:t>
            </w:r>
          </w:p>
          <w:p w14:paraId="483E97A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2.1配置杂交组合任务详情：按照育种目标，配置</w:t>
            </w:r>
            <w:r>
              <w:rPr>
                <w:rFonts w:hint="eastAsia" w:ascii="宋体" w:hAnsi="宋体" w:eastAsia="宋体" w:cs="宋体"/>
                <w:sz w:val="24"/>
                <w:szCs w:val="32"/>
                <w:lang w:val="en-US" w:eastAsia="zh-CN"/>
              </w:rPr>
              <w:t>杂交</w:t>
            </w:r>
            <w:r>
              <w:rPr>
                <w:rFonts w:hint="eastAsia" w:ascii="宋体" w:hAnsi="宋体" w:eastAsia="宋体" w:cs="宋体"/>
                <w:sz w:val="24"/>
                <w:szCs w:val="32"/>
              </w:rPr>
              <w:t>组合。</w:t>
            </w:r>
          </w:p>
          <w:p w14:paraId="7A1151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2.1.</w:t>
            </w:r>
            <w:r>
              <w:rPr>
                <w:rFonts w:hint="eastAsia" w:ascii="宋体" w:hAnsi="宋体" w:eastAsia="宋体" w:cs="宋体"/>
                <w:sz w:val="24"/>
                <w:szCs w:val="32"/>
                <w:lang w:val="en-US" w:eastAsia="zh-CN"/>
              </w:rPr>
              <w:t>1</w:t>
            </w:r>
            <w:r>
              <w:rPr>
                <w:rFonts w:hint="eastAsia" w:ascii="宋体" w:hAnsi="宋体" w:eastAsia="宋体" w:cs="宋体"/>
                <w:sz w:val="24"/>
                <w:szCs w:val="32"/>
              </w:rPr>
              <w:t>浸种催芽</w:t>
            </w:r>
          </w:p>
          <w:p w14:paraId="411D18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清水浸种7天，置于 12 ℃～16 ℃条件下催芽2天。</w:t>
            </w:r>
          </w:p>
          <w:p w14:paraId="04D336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2.2杂交的方法与技术任务详情：使用合适的工具对母本材料进行去雄，并采集父本的花粉进行授粉。</w:t>
            </w:r>
          </w:p>
          <w:p w14:paraId="6AB13B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2.2.1挑选授粉工具</w:t>
            </w:r>
          </w:p>
          <w:p w14:paraId="21C4DD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2.2.2调节开花期</w:t>
            </w:r>
          </w:p>
          <w:p w14:paraId="43FCA8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2.2.7授粉后的管理</w:t>
            </w:r>
          </w:p>
          <w:p w14:paraId="45C54F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3. 杂交粒田间种植选择</w:t>
            </w:r>
          </w:p>
          <w:p w14:paraId="4E6816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 品系比较试验进入品系比较试验的品系数目较少，对试验的要求更精确，根据田间试验技术和统计原理，品系比较试验大多采用设置重复的完全随机区组设计，考核学生的田间种植图布置，随机区组设计的区组和小区时，小区的长边应与土壤肥力方向平行，区组的划分应与土壤肥力方向垂直。掌握试验原理，对后期的试验数据进行简单的统计计算分析。</w:t>
            </w:r>
          </w:p>
          <w:p w14:paraId="50210F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4.1田间试验设计任务详情：将入选的系统（品系）进行品系比较试验。</w:t>
            </w:r>
          </w:p>
          <w:p w14:paraId="749968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4.1.1选择合适的田间试验设计方法</w:t>
            </w:r>
          </w:p>
          <w:p w14:paraId="0FD7D2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4.1.2田间种植图的布局</w:t>
            </w:r>
          </w:p>
          <w:p w14:paraId="12D5DC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4.1.3田间种植图的排列</w:t>
            </w:r>
          </w:p>
          <w:p w14:paraId="0397E7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4.1.4区划定点</w:t>
            </w:r>
          </w:p>
          <w:p w14:paraId="4A1DAB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使用皮尺区划，根据勾股定理确定方形种植区。</w:t>
            </w:r>
          </w:p>
          <w:p w14:paraId="3988ABE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4.1.5插秧</w:t>
            </w:r>
          </w:p>
          <w:p w14:paraId="3355B6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4.1.6品系比较试验的研究内容</w:t>
            </w:r>
          </w:p>
          <w:p w14:paraId="7080C6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4.2田间试验统计分析任务详情：根据粳稻品系比较试验的产量结果，进行方差分析，然后再进行多重比较测验。</w:t>
            </w:r>
          </w:p>
          <w:p w14:paraId="3DDEE6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4.2.1计算平方和与自由度的分解，完成方差分析表</w:t>
            </w:r>
          </w:p>
          <w:p w14:paraId="7CBE8B2E">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品种区域试验和生产试验按照农业自然区划（黑龙江省积温带），学生要理解积温和品种的关系，选择自然栽培条件具有代表性的点，在农业行政部门的支持下，对选育的新品系，对丰产性、抗病性、适应性，品质和熟期等进行多点多年试验，试验区较大，重复次数多，常采用随机区组排列。对参加试验的品系的利用价值作出客观的科学的评价。</w:t>
            </w:r>
          </w:p>
          <w:p w14:paraId="651116F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5.1品种区域试验任务详情：确定好品种区域试验的地点，并进行区域试验和简单的统计分析。</w:t>
            </w:r>
          </w:p>
          <w:p w14:paraId="452749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5.2品种生产试验任务详情：了解品种生产试验的基本内容。</w:t>
            </w:r>
          </w:p>
          <w:p w14:paraId="23C86F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5.2.1机械化插秧</w:t>
            </w:r>
          </w:p>
          <w:p w14:paraId="118F0B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5.2.2生产试验的研究内容</w:t>
            </w:r>
          </w:p>
          <w:p w14:paraId="6E5844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szCs w:val="32"/>
              </w:rPr>
            </w:pPr>
            <w:r>
              <w:rPr>
                <w:rFonts w:hint="eastAsia" w:ascii="宋体" w:hAnsi="宋体" w:eastAsia="宋体" w:cs="宋体"/>
                <w:sz w:val="24"/>
                <w:szCs w:val="32"/>
              </w:rPr>
              <w:t>5.2.3品种审定与推广</w:t>
            </w:r>
          </w:p>
          <w:p w14:paraId="39711DBC">
            <w:pPr>
              <w:widowControl w:val="0"/>
              <w:kinsoku/>
              <w:autoSpaceDE/>
              <w:autoSpaceDN/>
              <w:adjustRightInd/>
              <w:snapToGrid/>
              <w:spacing w:line="360" w:lineRule="auto"/>
              <w:ind w:firstLine="420" w:firstLineChars="200"/>
              <w:jc w:val="both"/>
              <w:textAlignment w:val="auto"/>
              <w:rPr>
                <w:rFonts w:hint="eastAsia"/>
                <w:lang w:eastAsia="zh-CN"/>
              </w:rPr>
            </w:pPr>
          </w:p>
        </w:tc>
        <w:tc>
          <w:tcPr>
            <w:tcW w:w="450" w:type="dxa"/>
          </w:tcPr>
          <w:p w14:paraId="42C6D76C">
            <w:pPr>
              <w:widowControl w:val="0"/>
              <w:jc w:val="both"/>
              <w:rPr>
                <w:rFonts w:hint="default"/>
                <w:lang w:val="en-US" w:eastAsia="zh-CN"/>
              </w:rPr>
            </w:pPr>
            <w:r>
              <w:rPr>
                <w:rFonts w:hint="eastAsia"/>
                <w:lang w:val="en-US" w:eastAsia="zh-CN"/>
              </w:rPr>
              <w:t>1</w:t>
            </w:r>
          </w:p>
        </w:tc>
        <w:tc>
          <w:tcPr>
            <w:tcW w:w="449" w:type="dxa"/>
          </w:tcPr>
          <w:p w14:paraId="13EB1FF1">
            <w:pPr>
              <w:widowControl w:val="0"/>
              <w:jc w:val="both"/>
              <w:rPr>
                <w:rFonts w:hint="eastAsia"/>
                <w:lang w:eastAsia="zh-CN"/>
              </w:rPr>
            </w:pPr>
          </w:p>
        </w:tc>
        <w:tc>
          <w:tcPr>
            <w:tcW w:w="449" w:type="dxa"/>
          </w:tcPr>
          <w:p w14:paraId="3C7AA9C5">
            <w:pPr>
              <w:widowControl w:val="0"/>
              <w:jc w:val="both"/>
              <w:rPr>
                <w:rFonts w:hint="eastAsia"/>
                <w:lang w:eastAsia="zh-CN"/>
              </w:rPr>
            </w:pPr>
          </w:p>
        </w:tc>
        <w:tc>
          <w:tcPr>
            <w:tcW w:w="449" w:type="dxa"/>
          </w:tcPr>
          <w:p w14:paraId="548C4A1F">
            <w:pPr>
              <w:widowControl w:val="0"/>
              <w:jc w:val="both"/>
              <w:rPr>
                <w:rFonts w:hint="eastAsia"/>
                <w:lang w:eastAsia="zh-CN"/>
              </w:rPr>
            </w:pPr>
          </w:p>
        </w:tc>
      </w:tr>
      <w:tr w14:paraId="1AA2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1" w:type="dxa"/>
            <w:gridSpan w:val="6"/>
          </w:tcPr>
          <w:p w14:paraId="6A6F2B20">
            <w:pPr>
              <w:widowControl w:val="0"/>
              <w:jc w:val="center"/>
              <w:rPr>
                <w:rFonts w:hint="default"/>
                <w:lang w:val="en-US" w:eastAsia="zh-CN"/>
              </w:rPr>
            </w:pPr>
            <w:r>
              <w:rPr>
                <w:rFonts w:hint="eastAsia"/>
                <w:sz w:val="36"/>
                <w:szCs w:val="36"/>
                <w:lang w:val="en-US" w:eastAsia="zh-CN"/>
              </w:rPr>
              <w:t>合计金额：</w:t>
            </w:r>
          </w:p>
        </w:tc>
      </w:tr>
      <w:bookmarkEnd w:id="3"/>
    </w:tbl>
    <w:p w14:paraId="1C4342FB">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p>
    <w:p w14:paraId="5CC3E9B3">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1898F8"/>
    <w:multiLevelType w:val="singleLevel"/>
    <w:tmpl w:val="631898F8"/>
    <w:lvl w:ilvl="0" w:tentative="0">
      <w:start w:val="2"/>
      <w:numFmt w:val="decimal"/>
      <w:lvlText w:val="%1."/>
      <w:lvlJc w:val="left"/>
      <w:pPr>
        <w:tabs>
          <w:tab w:val="left" w:pos="312"/>
        </w:tabs>
      </w:pPr>
    </w:lvl>
  </w:abstractNum>
  <w:abstractNum w:abstractNumId="1">
    <w:nsid w:val="7C235425"/>
    <w:multiLevelType w:val="singleLevel"/>
    <w:tmpl w:val="7C235425"/>
    <w:lvl w:ilvl="0" w:tentative="0">
      <w:start w:val="5"/>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DA3"/>
    <w:rsid w:val="000A7EFB"/>
    <w:rsid w:val="0015255C"/>
    <w:rsid w:val="00330F6C"/>
    <w:rsid w:val="004C099F"/>
    <w:rsid w:val="004F04E8"/>
    <w:rsid w:val="00710685"/>
    <w:rsid w:val="007A70CC"/>
    <w:rsid w:val="00806523"/>
    <w:rsid w:val="00AE74CC"/>
    <w:rsid w:val="00C85CFA"/>
    <w:rsid w:val="00CA665F"/>
    <w:rsid w:val="00CF5021"/>
    <w:rsid w:val="00D62403"/>
    <w:rsid w:val="00E15DA3"/>
    <w:rsid w:val="00E40598"/>
    <w:rsid w:val="00E5509A"/>
    <w:rsid w:val="00E970E3"/>
    <w:rsid w:val="00ED0CE7"/>
    <w:rsid w:val="04583A5F"/>
    <w:rsid w:val="08C1489E"/>
    <w:rsid w:val="08F03ACA"/>
    <w:rsid w:val="1B214753"/>
    <w:rsid w:val="1CF2284B"/>
    <w:rsid w:val="1ED23F5F"/>
    <w:rsid w:val="1F065DFC"/>
    <w:rsid w:val="23137920"/>
    <w:rsid w:val="2397058E"/>
    <w:rsid w:val="23F35334"/>
    <w:rsid w:val="243E4A3A"/>
    <w:rsid w:val="2B97119F"/>
    <w:rsid w:val="3B3E6448"/>
    <w:rsid w:val="4111299D"/>
    <w:rsid w:val="4346094B"/>
    <w:rsid w:val="45505E78"/>
    <w:rsid w:val="55BB0D24"/>
    <w:rsid w:val="5956184F"/>
    <w:rsid w:val="5A696FA1"/>
    <w:rsid w:val="5D783061"/>
    <w:rsid w:val="5DCE7C7E"/>
    <w:rsid w:val="5E53615F"/>
    <w:rsid w:val="62680A65"/>
    <w:rsid w:val="67A56628"/>
    <w:rsid w:val="697D7D3A"/>
    <w:rsid w:val="6A393539"/>
    <w:rsid w:val="6E044B37"/>
    <w:rsid w:val="721F6449"/>
    <w:rsid w:val="729065D7"/>
    <w:rsid w:val="74984D51"/>
    <w:rsid w:val="77CE24BF"/>
    <w:rsid w:val="79444364"/>
    <w:rsid w:val="7A601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lang w:eastAsia="zh-CN"/>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楷体" w:cs="Times New Roman"/>
      <w:b/>
      <w:kern w:val="0"/>
      <w:sz w:val="30"/>
      <w:szCs w:val="36"/>
    </w:rPr>
  </w:style>
  <w:style w:type="paragraph" w:styleId="4">
    <w:name w:val="heading 3"/>
    <w:basedOn w:val="1"/>
    <w:next w:val="1"/>
    <w:semiHidden/>
    <w:unhideWhenUsed/>
    <w:qFormat/>
    <w:uiPriority w:val="0"/>
    <w:pPr>
      <w:spacing w:beforeAutospacing="1" w:afterAutospacing="1"/>
      <w:outlineLvl w:val="2"/>
    </w:pPr>
    <w:rPr>
      <w:rFonts w:hint="eastAsia" w:ascii="宋体" w:hAnsi="宋体" w:eastAsia="宋体" w:cs="Times New Roman"/>
      <w:b/>
      <w:bCs/>
      <w:sz w:val="27"/>
      <w:szCs w:val="27"/>
      <w:lang w:eastAsia="zh-CN"/>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style>
  <w:style w:type="paragraph" w:styleId="6">
    <w:name w:val="Plain Text"/>
    <w:basedOn w:val="1"/>
    <w:qFormat/>
    <w:uiPriority w:val="0"/>
    <w:rPr>
      <w:rFonts w:ascii="宋体" w:hAnsi="Courier New" w:cs="Courier New"/>
      <w:szCs w:val="21"/>
    </w:rPr>
  </w:style>
  <w:style w:type="paragraph" w:styleId="7">
    <w:name w:val="footer"/>
    <w:basedOn w:val="1"/>
    <w:link w:val="16"/>
    <w:qFormat/>
    <w:uiPriority w:val="0"/>
    <w:pPr>
      <w:tabs>
        <w:tab w:val="center" w:pos="4153"/>
        <w:tab w:val="right" w:pos="8306"/>
      </w:tabs>
    </w:pPr>
    <w:rPr>
      <w:sz w:val="18"/>
      <w:szCs w:val="18"/>
    </w:rPr>
  </w:style>
  <w:style w:type="paragraph" w:styleId="8">
    <w:name w:val="header"/>
    <w:basedOn w:val="1"/>
    <w:link w:val="15"/>
    <w:qFormat/>
    <w:uiPriority w:val="0"/>
    <w:pPr>
      <w:tabs>
        <w:tab w:val="center" w:pos="4153"/>
        <w:tab w:val="right" w:pos="8306"/>
      </w:tabs>
      <w:jc w:val="center"/>
    </w:pPr>
    <w:rPr>
      <w:sz w:val="18"/>
      <w:szCs w:val="18"/>
    </w:rPr>
  </w:style>
  <w:style w:type="paragraph" w:styleId="9">
    <w:name w:val="Normal (Web)"/>
    <w:basedOn w:val="1"/>
    <w:qFormat/>
    <w:uiPriority w:val="0"/>
    <w:pPr>
      <w:kinsoku/>
      <w:autoSpaceDE/>
      <w:autoSpaceDN/>
      <w:adjustRightInd/>
      <w:snapToGrid/>
      <w:spacing w:after="160" w:line="278" w:lineRule="auto"/>
      <w:textAlignment w:val="auto"/>
    </w:pPr>
    <w:rPr>
      <w:rFonts w:ascii="宋体" w:hAnsi="宋体" w:cs="宋体" w:eastAsiaTheme="minorEastAsia"/>
      <w:snapToGrid/>
      <w:color w:val="auto"/>
      <w:sz w:val="24"/>
      <w:szCs w:val="24"/>
      <w:lang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styleId="14">
    <w:name w:val="List Paragraph"/>
    <w:basedOn w:val="1"/>
    <w:qFormat/>
    <w:uiPriority w:val="34"/>
    <w:pPr>
      <w:ind w:firstLine="420" w:firstLineChars="200"/>
    </w:pPr>
  </w:style>
  <w:style w:type="character" w:customStyle="1" w:styleId="15">
    <w:name w:val="页眉 字符"/>
    <w:basedOn w:val="12"/>
    <w:link w:val="8"/>
    <w:qFormat/>
    <w:uiPriority w:val="0"/>
    <w:rPr>
      <w:rFonts w:ascii="Arial" w:hAnsi="Arial" w:eastAsia="Arial" w:cs="Arial"/>
      <w:snapToGrid w:val="0"/>
      <w:color w:val="000000"/>
      <w:sz w:val="18"/>
      <w:szCs w:val="18"/>
      <w:lang w:eastAsia="en-US"/>
    </w:rPr>
  </w:style>
  <w:style w:type="character" w:customStyle="1" w:styleId="16">
    <w:name w:val="页脚 字符"/>
    <w:basedOn w:val="12"/>
    <w:link w:val="7"/>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5ea1f9b5-10ca-42de-bdc0-a91991135f7d</errorID>
      <errorWord>键之处</errorWord>
      <group>L1_Grammar</group>
      <groupName>语法问题</groupName>
      <ability>L2_Collocation</ability>
      <abilityName>搭配不当</abilityName>
      <candidateList>
        <item>键</item>
      </candidateList>
      <explain>句子中可能存在主谓、动宾、定语中心语、状语中心语、补语中心语、关联词搭配不当等问题。</explain>
      <paraID>2190F694</paraID>
      <start>66</start>
      <end>67</end>
      <status>modified</status>
      <modifiedWord>键</modifiedWord>
      <trackRevisions>false</trackRevisions>
    </reviewItem>
    <reviewItem>
      <errorID>c75e7d9f-b241-4e03-bf2b-a195ffa03281</errorID>
      <errorWord>,</errorWord>
      <group>L1_Format</group>
      <groupName>格式问题</groupName>
      <ability>L2_HalfPunc</ability>
      <abilityName>全半角检查</abilityName>
      <candidateList>
        <item>，</item>
      </candidateList>
      <explain>文本全半角错误。</explain>
      <paraID>18F353CE</paraID>
      <start>16</start>
      <end>17</end>
      <status>modified</status>
      <modifiedWord>，</modifiedWord>
      <trackRevisions>false</trackRevisions>
    </reviewItem>
    <reviewItem>
      <errorID>73348085-df7d-4e2f-8fb4-56a89be58ebf</errorID>
      <errorWord>：：</errorWord>
      <group>L1_Punc</group>
      <groupName>标点问题</groupName>
      <ability>L2_Punc</ability>
      <abilityName>标点符号检查</abilityName>
      <candidateList>
        <item>：</item>
      </candidateList>
      <explain/>
      <paraID>3F4CD500</paraID>
      <start>2</start>
      <end>3</end>
      <status>modified</status>
      <modifiedWord>：</modifiedWord>
      <trackRevisions>false</trackRevisions>
    </reviewItem>
    <reviewItem>
      <errorID>90ee79d9-6296-4bc1-aa70-77d5227b0351</errorID>
      <errorWord>手动手动</errorWord>
      <group>L1_Word</group>
      <groupName>字词问题</groupName>
      <ability>L2_Typo</ability>
      <abilityName>字词错误</abilityName>
      <candidateList>
        <item>手动</item>
      </candidateList>
      <explain/>
      <paraID>42E1490E</paraID>
      <start>32</start>
      <end>34</end>
      <status>modified</status>
      <modifiedWord>手动</modifiedWord>
      <trackRevisions>false</trackRevisions>
    </reviewItem>
    <reviewItem>
      <errorID>31b85164-b85a-4445-930a-59a6edbd6d41</errorID>
      <errorWord>体式显微镜</errorWord>
      <group>L1_Knowledge</group>
      <groupName>知识性问题</groupName>
      <ability>L2_Term</ability>
      <abilityName>专业术语</abilityName>
      <candidateList>
        <item>体视显微镜</item>
      </candidateList>
      <explain/>
      <paraID>1614D9B1</paraID>
      <start>0</start>
      <end>5</end>
      <status>modified</status>
      <modifiedWord>体视显微镜</modifiedWord>
      <trackRevisions>false</trackRevisions>
    </reviewItem>
    <reviewItem>
      <errorID>cf86b531-a8b9-4904-a058-b08fd4293cac</errorID>
      <errorWord>体式显微镜</errorWord>
      <group>L1_Knowledge</group>
      <groupName>知识性问题</groupName>
      <ability>L2_Term</ability>
      <abilityName>专业术语</abilityName>
      <candidateList>
        <item>体视显微镜</item>
      </candidateList>
      <explain/>
      <paraID>2E329932</paraID>
      <start>0</start>
      <end>5</end>
      <status>modified</status>
      <modifiedWord>体视显微镜</modifiedWord>
      <trackRevisions>false</trackRevisions>
    </reviewItem>
    <reviewItem>
      <errorID>98c8aa65-67a4-4c65-aa15-111582565b3e</errorID>
      <errorWord>放大在</errorWord>
      <group>L1_Grammar</group>
      <groupName>语法问题</groupName>
      <ability>L2_Order</ability>
      <abilityName>语序不当</abilityName>
      <candidateList>
        <item>放大</item>
      </candidateList>
      <explain>句子可能没有遵循时空、逻辑顺序，或者介词、关联词等位置不当。</explain>
      <paraID>210BEBB0</paraID>
      <start>47</start>
      <end>49</end>
      <status>modified</status>
      <modifiedWord>放大</modifiedWord>
      <trackRevisions>false</trackRevisions>
    </reviewItem>
    <reviewItem>
      <errorID>3a8e3594-fbad-4b05-9bb9-62eee005b6f7</errorID>
      <errorWord>放大在</errorWord>
      <group>L1_Grammar</group>
      <groupName>语法问题</groupName>
      <ability>L2_Order</ability>
      <abilityName>语序不当</abilityName>
      <candidateList>
        <item>放大</item>
      </candidateList>
      <explain>句子可能没有遵循时空、逻辑顺序，或者介词、关联词等位置不当。</explain>
      <paraID>30330FD6</paraID>
      <start>47</start>
      <end>49</end>
      <status>modified</status>
      <modifiedWord>放大</modifiedWord>
      <trackRevisions>false</trackRevisions>
    </reviewItem>
    <reviewItem>
      <errorID>4236df41-1ad6-49a5-ad2e-a5cb3daacdef</errorID>
      <errorWord>需具备</errorWord>
      <group>L1_Word</group>
      <groupName>字词问题</groupName>
      <ability>L2_Typo</ability>
      <abilityName>字词错误</abilityName>
      <candidateList>
        <item>须具备</item>
      </candidateList>
      <explain/>
      <paraID>1FFC6137</paraID>
      <start>34</start>
      <end>37</end>
      <status>modified</status>
      <modifiedWord>须具备</modifiedWord>
      <trackRevisions>false</trackRevisions>
    </reviewItem>
  </reviewItems>
  <config/>
</contractReview>
</file>

<file path=customXml/itemProps1.xml><?xml version="1.0" encoding="utf-8"?>
<ds:datastoreItem xmlns:ds="http://schemas.openxmlformats.org/officeDocument/2006/customXml" ds:itemID="{2b8f4197-ec31-466a-b69f-0eb3b9741432}">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6517</Words>
  <Characters>7115</Characters>
  <Lines>324</Lines>
  <Paragraphs>161</Paragraphs>
  <TotalTime>8</TotalTime>
  <ScaleCrop>false</ScaleCrop>
  <LinksUpToDate>false</LinksUpToDate>
  <CharactersWithSpaces>7130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2025-11-13T00:37:00Z</dcterms:created>
  <dc:creator>DELL</dc:creator>
  <cp:lastModifiedBy>会飞的鱼</cp:lastModifiedBy>
  <dcterms:modified xsi:type="dcterms:W3CDTF">2025-12-06T12:08:59Z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eyJoZGlkIjoiYWRlZGNkZmI2NDc2MjQyY2VmMWYyZGUwMDdjOTBiMDIiLCJ1c2VySWQiOiIyNjY0NDA3NzEifQ==</vt:lpwstr>
  </property>
  <property fmtid="{D5CDD505-2E9C-101B-9397-08002B2CF9AE}" pid="4" name="ICV">
    <vt:lpwstr>ADFCB1D7C55F483D8B4E5AB83FB5DDF1_12</vt:lpwstr>
  </property>
</Properties>
</file>