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9C774">
      <w:pPr>
        <w:pStyle w:val="2"/>
        <w:widowControl w:val="0"/>
        <w:kinsoku/>
        <w:autoSpaceDE/>
        <w:autoSpaceDN/>
        <w:adjustRightInd/>
        <w:snapToGrid/>
        <w:spacing w:beforeAutospacing="0" w:afterAutospacing="0" w:line="360" w:lineRule="auto"/>
        <w:jc w:val="center"/>
        <w:textAlignment w:val="auto"/>
        <w:rPr>
          <w:rFonts w:cs="宋体"/>
          <w:sz w:val="36"/>
          <w:szCs w:val="36"/>
        </w:rPr>
      </w:pPr>
      <w:r>
        <w:rPr>
          <w:sz w:val="40"/>
          <w:szCs w:val="40"/>
        </w:rPr>
        <w:t>采购需求</w:t>
      </w:r>
      <w:bookmarkStart w:id="0" w:name="_Toc26554093"/>
      <w:bookmarkEnd w:id="0"/>
      <w:bookmarkStart w:id="1" w:name="_Toc49090575"/>
      <w:bookmarkEnd w:id="1"/>
    </w:p>
    <w:p w14:paraId="13C59EA9">
      <w:pPr>
        <w:widowControl w:val="0"/>
        <w:kinsoku/>
        <w:autoSpaceDE/>
        <w:autoSpaceDN/>
        <w:adjustRightInd/>
        <w:snapToGrid/>
        <w:spacing w:line="360" w:lineRule="auto"/>
        <w:ind w:firstLine="480" w:firstLineChars="200"/>
        <w:textAlignment w:val="auto"/>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pPr>
      <w:r>
        <w:rPr>
          <w:rFonts w:hint="eastAsia" w:ascii="宋体" w:hAnsi="宋体" w:eastAsia="宋体" w:cs="宋体"/>
          <w:sz w:val="24"/>
          <w:szCs w:val="24"/>
          <w:lang w:eastAsia="zh-CN"/>
        </w:rPr>
        <w:t>1.拟采购的标的：</w:t>
      </w:r>
      <w:r>
        <w:rPr>
          <w:rFonts w:hint="eastAsia" w:ascii="宋体" w:hAnsi="宋体" w:eastAsia="宋体" w:cs="宋体"/>
          <w:sz w:val="24"/>
          <w:szCs w:val="24"/>
          <w:lang w:val="en-US" w:eastAsia="zh-CN"/>
        </w:rPr>
        <w:t>黑龙江农业职业技术学院智慧种植与加工专业群数字化课程资源建设项目</w:t>
      </w:r>
      <w:r>
        <w:rPr>
          <w:rFonts w:ascii="Segoe UI Emoji" w:hAnsi="Segoe UI Emoji" w:eastAsia="Segoe UI Emoji" w:cs="Segoe UI Emoji"/>
          <w:snapToGrid w:val="0"/>
          <w:color w:val="0D0D0D" w:themeColor="text1" w:themeTint="F2"/>
          <w:sz w:val="24"/>
          <w:szCs w:val="24"/>
          <w:lang w:val="en-US" w:eastAsia="zh-CN" w:bidi="ar-SA"/>
          <w14:textFill>
            <w14:solidFill>
              <w14:schemeClr w14:val="tx1">
                <w14:lumMod w14:val="95000"/>
                <w14:lumOff w14:val="5000"/>
              </w14:schemeClr>
            </w14:solidFill>
          </w14:textFill>
        </w:rPr>
        <w:t>采购需求</w:t>
      </w:r>
    </w:p>
    <w:p w14:paraId="1F6473FE">
      <w:pPr>
        <w:pStyle w:val="14"/>
        <w:spacing w:line="360" w:lineRule="auto"/>
        <w:ind w:firstLine="480"/>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t>2.技术要求</w:t>
      </w:r>
    </w:p>
    <w:p w14:paraId="6BC28C65">
      <w:pPr>
        <w:pStyle w:val="14"/>
        <w:spacing w:line="360" w:lineRule="auto"/>
        <w:ind w:firstLine="480"/>
        <w:rPr>
          <w:rFonts w:hint="eastAsia" w:ascii="仿宋" w:hAnsi="仿宋" w:eastAsia="仿宋" w:cs="仿宋"/>
          <w:sz w:val="28"/>
          <w:szCs w:val="28"/>
          <w:lang w:eastAsia="zh-CN"/>
        </w:rPr>
      </w:pPr>
      <w:r>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t>2.1项目背景</w:t>
      </w:r>
    </w:p>
    <w:p w14:paraId="3FD8F48B">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en-US"/>
        </w:rPr>
        <w:t>为契合国家“新农科”建设要求及“双高建设”</w:t>
      </w:r>
      <w:r>
        <w:rPr>
          <w:rFonts w:hint="eastAsia" w:ascii="宋体" w:hAnsi="宋体" w:eastAsia="宋体" w:cs="宋体"/>
          <w:sz w:val="24"/>
          <w:szCs w:val="24"/>
          <w:lang w:val="en-US" w:eastAsia="zh-CN"/>
        </w:rPr>
        <w:t>任务要求</w:t>
      </w:r>
      <w:r>
        <w:rPr>
          <w:rFonts w:hint="eastAsia" w:ascii="宋体" w:hAnsi="宋体" w:eastAsia="宋体" w:cs="宋体"/>
          <w:sz w:val="24"/>
          <w:szCs w:val="24"/>
          <w:lang w:val="en-US" w:eastAsia="en-US"/>
        </w:rPr>
        <w:t>，严格遵循《教育强国建设规划纲要（2024</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2035年）》中对职业教育的要求及规范，深化职业教育数字化转型，加强农学专业实践教学环节，提升农学专业人才培养质量，从教学实际需要出发，以“需求导向、教学适配、长效运行”为原则，围绕智慧种植与加工专业群现代农业产业链，针对已在学银在线平台上线的6门农学类核心课程</w:t>
      </w:r>
      <w:r>
        <w:rPr>
          <w:rFonts w:hint="eastAsia" w:ascii="宋体" w:hAnsi="宋体" w:eastAsia="宋体" w:cs="宋体"/>
          <w:sz w:val="24"/>
          <w:szCs w:val="24"/>
          <w:lang w:val="en-US" w:eastAsia="zh-CN"/>
        </w:rPr>
        <w:t>:《植物检疫技术》《配方施肥技术》《农药应用技术》《作物病害防治》《农业害虫防治》《果树生产技术》</w:t>
      </w:r>
      <w:r>
        <w:rPr>
          <w:rFonts w:hint="eastAsia" w:ascii="宋体" w:hAnsi="宋体" w:eastAsia="宋体" w:cs="宋体"/>
          <w:sz w:val="24"/>
          <w:szCs w:val="24"/>
          <w:lang w:val="en-US" w:eastAsia="en-US"/>
        </w:rPr>
        <w:t>，开发配套二维动画及专属数字人资源，解决线上教学中专业知识点具象化不足、实操场景难观摩、教学互动性有待提升的问题，丰富课程数字化教学内容，推动信息技术与职业教育教学深度融合，直接服务于农业技能型人才培养与科研创新目标。</w:t>
      </w:r>
    </w:p>
    <w:p w14:paraId="51505738">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2.2项目目标</w:t>
      </w:r>
    </w:p>
    <w:p w14:paraId="4FDEDEAC">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深化产教融合，借助数字动画、人工智能、数字人等技术，构建适配农学专业教学的数字化资源体系，将理论教学、实操场景、虚拟呈现充分融合，实现“教学过程可视化、学生学习自主化、教学场景多元化”，助力学院教学实训改革，提升教师数字化教学能力，改革教学方法，形成符合职业教育教学规律的数字化教学模式。</w:t>
      </w:r>
    </w:p>
    <w:p w14:paraId="42BC29C2">
      <w:pPr>
        <w:widowControl w:val="0"/>
        <w:kinsoku/>
        <w:autoSpaceDE/>
        <w:autoSpaceDN/>
        <w:adjustRightInd/>
        <w:snapToGrid/>
        <w:spacing w:line="360" w:lineRule="auto"/>
        <w:ind w:firstLine="480" w:firstLineChars="200"/>
        <w:textAlignment w:val="auto"/>
        <w:rPr>
          <w:color w:val="000000"/>
          <w:sz w:val="19"/>
          <w:szCs w:val="19"/>
        </w:rPr>
      </w:pPr>
      <w:r>
        <w:rPr>
          <w:rFonts w:hint="eastAsia" w:ascii="宋体" w:hAnsi="宋体" w:eastAsia="宋体" w:cs="宋体"/>
          <w:sz w:val="24"/>
          <w:szCs w:val="24"/>
          <w:lang w:val="en-US" w:eastAsia="zh-CN"/>
        </w:rPr>
        <w:t>通过课程配套二维动画及数字人资源建设，解决农学专业教学中“高难度、难实施、难观摩、难再现”的问题，延展教学时间和空间、拓展教学内容广度和深度、提升教学质量和水平，打造适配泛在学习、混合式教学的优质数字化课程资源，助力学校建设区域特色示范性职业教育数字化教学资源体系，提升学校区域内的知名度、影响力和综合竞争力。</w:t>
      </w:r>
    </w:p>
    <w:p w14:paraId="59EB0A58">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p>
    <w:p w14:paraId="260573F4">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p>
    <w:p w14:paraId="1677BABE">
      <w:pPr>
        <w:widowControl w:val="0"/>
        <w:kinsoku/>
        <w:autoSpaceDE/>
        <w:autoSpaceDN/>
        <w:adjustRightInd/>
        <w:snapToGrid/>
        <w:spacing w:line="360" w:lineRule="auto"/>
        <w:textAlignment w:val="auto"/>
        <w:rPr>
          <w:rFonts w:hint="eastAsia" w:ascii="宋体" w:hAnsi="宋体" w:eastAsia="宋体" w:cs="宋体"/>
          <w:sz w:val="24"/>
          <w:szCs w:val="24"/>
          <w:lang w:eastAsia="zh-CN"/>
        </w:rPr>
      </w:pPr>
      <w:bookmarkStart w:id="2" w:name="_GoBack"/>
      <w:bookmarkEnd w:id="2"/>
    </w:p>
    <w:p w14:paraId="037C259E">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2.3</w:t>
      </w:r>
      <w:r>
        <w:rPr>
          <w:rFonts w:ascii="宋体" w:hAnsi="宋体" w:eastAsia="宋体" w:cs="宋体"/>
          <w:sz w:val="24"/>
          <w:szCs w:val="24"/>
          <w:lang w:eastAsia="zh-CN"/>
        </w:rPr>
        <w:t>项目内容、数量及要求：</w:t>
      </w:r>
    </w:p>
    <w:tbl>
      <w:tblPr>
        <w:tblStyle w:val="10"/>
        <w:tblW w:w="5000"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55"/>
        <w:gridCol w:w="5461"/>
        <w:gridCol w:w="466"/>
        <w:gridCol w:w="466"/>
        <w:gridCol w:w="466"/>
        <w:gridCol w:w="484"/>
      </w:tblGrid>
      <w:tr w14:paraId="5FE5E24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680" w:type="pct"/>
            <w:tcBorders>
              <w:tl2br w:val="nil"/>
              <w:tr2bl w:val="nil"/>
            </w:tcBorders>
            <w:shd w:val="clear" w:color="auto" w:fill="auto"/>
            <w:noWrap w:val="0"/>
            <w:tcMar>
              <w:top w:w="96" w:type="dxa"/>
              <w:left w:w="96" w:type="dxa"/>
              <w:bottom w:w="96" w:type="dxa"/>
              <w:right w:w="96" w:type="dxa"/>
            </w:tcMar>
            <w:vAlign w:val="center"/>
          </w:tcPr>
          <w:p w14:paraId="600608C7">
            <w:pPr>
              <w:keepNext w:val="0"/>
              <w:keepLines w:val="0"/>
              <w:widowControl/>
              <w:suppressLineNumbers w:val="0"/>
              <w:snapToGrid w:val="0"/>
              <w:jc w:val="left"/>
              <w:rPr>
                <w:b/>
                <w:bCs/>
              </w:rPr>
            </w:pPr>
            <w:r>
              <w:rPr>
                <w:rFonts w:ascii="宋体" w:hAnsi="宋体" w:eastAsia="宋体" w:cs="宋体"/>
                <w:b/>
                <w:bCs/>
                <w:snapToGrid w:val="0"/>
                <w:color w:val="000000"/>
                <w:kern w:val="0"/>
                <w:sz w:val="24"/>
                <w:szCs w:val="24"/>
                <w:lang w:val="en-US" w:eastAsia="zh-CN" w:bidi="ar"/>
              </w:rPr>
              <w:t>名称</w:t>
            </w:r>
          </w:p>
        </w:tc>
        <w:tc>
          <w:tcPr>
            <w:tcW w:w="3213" w:type="pct"/>
            <w:tcBorders>
              <w:tl2br w:val="nil"/>
              <w:tr2bl w:val="nil"/>
            </w:tcBorders>
            <w:shd w:val="clear" w:color="auto" w:fill="auto"/>
            <w:noWrap w:val="0"/>
            <w:tcMar>
              <w:top w:w="96" w:type="dxa"/>
              <w:left w:w="96" w:type="dxa"/>
              <w:bottom w:w="96" w:type="dxa"/>
              <w:right w:w="96" w:type="dxa"/>
            </w:tcMar>
            <w:vAlign w:val="center"/>
          </w:tcPr>
          <w:p w14:paraId="5B5B6F25">
            <w:pPr>
              <w:keepNext w:val="0"/>
              <w:keepLines w:val="0"/>
              <w:widowControl/>
              <w:suppressLineNumbers w:val="0"/>
              <w:snapToGrid w:val="0"/>
              <w:jc w:val="left"/>
              <w:rPr>
                <w:b/>
                <w:bCs/>
              </w:rPr>
            </w:pPr>
            <w:r>
              <w:rPr>
                <w:rFonts w:ascii="宋体" w:hAnsi="宋体" w:eastAsia="宋体" w:cs="宋体"/>
                <w:b/>
                <w:bCs/>
                <w:snapToGrid w:val="0"/>
                <w:color w:val="000000"/>
                <w:kern w:val="0"/>
                <w:sz w:val="24"/>
                <w:szCs w:val="24"/>
                <w:lang w:val="en-US" w:eastAsia="zh-CN" w:bidi="ar"/>
              </w:rPr>
              <w:t>功能（要求）</w:t>
            </w:r>
          </w:p>
        </w:tc>
        <w:tc>
          <w:tcPr>
            <w:tcW w:w="274" w:type="pct"/>
            <w:tcBorders>
              <w:tl2br w:val="nil"/>
              <w:tr2bl w:val="nil"/>
            </w:tcBorders>
            <w:shd w:val="clear" w:color="auto" w:fill="auto"/>
            <w:noWrap w:val="0"/>
            <w:tcMar>
              <w:top w:w="96" w:type="dxa"/>
              <w:left w:w="96" w:type="dxa"/>
              <w:bottom w:w="96" w:type="dxa"/>
              <w:right w:w="96" w:type="dxa"/>
            </w:tcMar>
            <w:vAlign w:val="center"/>
          </w:tcPr>
          <w:p w14:paraId="49C42ED3">
            <w:pPr>
              <w:keepNext w:val="0"/>
              <w:keepLines w:val="0"/>
              <w:widowControl/>
              <w:suppressLineNumbers w:val="0"/>
              <w:snapToGrid w:val="0"/>
              <w:jc w:val="left"/>
              <w:rPr>
                <w:b/>
                <w:bCs/>
              </w:rPr>
            </w:pPr>
            <w:r>
              <w:rPr>
                <w:rFonts w:ascii="宋体" w:hAnsi="宋体" w:eastAsia="宋体" w:cs="宋体"/>
                <w:b/>
                <w:bCs/>
                <w:snapToGrid w:val="0"/>
                <w:color w:val="000000"/>
                <w:kern w:val="0"/>
                <w:sz w:val="24"/>
                <w:szCs w:val="24"/>
                <w:lang w:val="en-US" w:eastAsia="zh-CN" w:bidi="ar"/>
              </w:rPr>
              <w:t>数量</w:t>
            </w:r>
          </w:p>
        </w:tc>
        <w:tc>
          <w:tcPr>
            <w:tcW w:w="274" w:type="pct"/>
            <w:tcBorders>
              <w:tl2br w:val="nil"/>
              <w:tr2bl w:val="nil"/>
            </w:tcBorders>
            <w:shd w:val="clear" w:color="auto" w:fill="auto"/>
            <w:noWrap w:val="0"/>
            <w:tcMar>
              <w:top w:w="96" w:type="dxa"/>
              <w:left w:w="96" w:type="dxa"/>
              <w:bottom w:w="96" w:type="dxa"/>
              <w:right w:w="96" w:type="dxa"/>
            </w:tcMar>
            <w:vAlign w:val="center"/>
          </w:tcPr>
          <w:p w14:paraId="626AD886">
            <w:pPr>
              <w:keepNext w:val="0"/>
              <w:keepLines w:val="0"/>
              <w:widowControl/>
              <w:suppressLineNumbers w:val="0"/>
              <w:snapToGrid w:val="0"/>
              <w:jc w:val="left"/>
              <w:rPr>
                <w:b/>
                <w:bCs/>
              </w:rPr>
            </w:pPr>
            <w:r>
              <w:rPr>
                <w:rFonts w:ascii="宋体" w:hAnsi="宋体" w:eastAsia="宋体" w:cs="宋体"/>
                <w:b/>
                <w:bCs/>
                <w:snapToGrid w:val="0"/>
                <w:color w:val="000000"/>
                <w:kern w:val="0"/>
                <w:sz w:val="24"/>
                <w:szCs w:val="24"/>
                <w:lang w:val="en-US" w:eastAsia="zh-CN" w:bidi="ar"/>
              </w:rPr>
              <w:t>参数</w:t>
            </w:r>
          </w:p>
        </w:tc>
        <w:tc>
          <w:tcPr>
            <w:tcW w:w="274" w:type="pct"/>
            <w:tcBorders>
              <w:tl2br w:val="nil"/>
              <w:tr2bl w:val="nil"/>
            </w:tcBorders>
            <w:shd w:val="clear" w:color="auto" w:fill="auto"/>
            <w:noWrap w:val="0"/>
            <w:tcMar>
              <w:top w:w="96" w:type="dxa"/>
              <w:left w:w="96" w:type="dxa"/>
              <w:bottom w:w="96" w:type="dxa"/>
              <w:right w:w="96" w:type="dxa"/>
            </w:tcMar>
            <w:vAlign w:val="center"/>
          </w:tcPr>
          <w:p w14:paraId="4C3F8D9C">
            <w:pPr>
              <w:keepNext w:val="0"/>
              <w:keepLines w:val="0"/>
              <w:widowControl/>
              <w:suppressLineNumbers w:val="0"/>
              <w:snapToGrid w:val="0"/>
              <w:jc w:val="left"/>
              <w:rPr>
                <w:b/>
                <w:bCs/>
              </w:rPr>
            </w:pPr>
            <w:r>
              <w:rPr>
                <w:rFonts w:ascii="宋体" w:hAnsi="宋体" w:eastAsia="宋体" w:cs="宋体"/>
                <w:b/>
                <w:bCs/>
                <w:snapToGrid w:val="0"/>
                <w:color w:val="000000"/>
                <w:kern w:val="0"/>
                <w:sz w:val="24"/>
                <w:szCs w:val="24"/>
                <w:lang w:val="en-US" w:eastAsia="zh-CN" w:bidi="ar"/>
              </w:rPr>
              <w:t>单价</w:t>
            </w:r>
          </w:p>
        </w:tc>
        <w:tc>
          <w:tcPr>
            <w:tcW w:w="281" w:type="pct"/>
            <w:tcBorders>
              <w:tl2br w:val="nil"/>
              <w:tr2bl w:val="nil"/>
            </w:tcBorders>
            <w:shd w:val="clear" w:color="auto" w:fill="auto"/>
            <w:noWrap w:val="0"/>
            <w:tcMar>
              <w:top w:w="96" w:type="dxa"/>
              <w:left w:w="96" w:type="dxa"/>
              <w:bottom w:w="96" w:type="dxa"/>
              <w:right w:w="96" w:type="dxa"/>
            </w:tcMar>
            <w:vAlign w:val="center"/>
          </w:tcPr>
          <w:p w14:paraId="05FDA768">
            <w:pPr>
              <w:keepNext w:val="0"/>
              <w:keepLines w:val="0"/>
              <w:widowControl/>
              <w:suppressLineNumbers w:val="0"/>
              <w:snapToGrid w:val="0"/>
              <w:jc w:val="left"/>
              <w:rPr>
                <w:b/>
                <w:bCs/>
              </w:rPr>
            </w:pPr>
            <w:r>
              <w:rPr>
                <w:rFonts w:ascii="宋体" w:hAnsi="宋体" w:eastAsia="宋体" w:cs="宋体"/>
                <w:b/>
                <w:bCs/>
                <w:snapToGrid w:val="0"/>
                <w:color w:val="000000"/>
                <w:kern w:val="0"/>
                <w:sz w:val="24"/>
                <w:szCs w:val="24"/>
                <w:lang w:val="en-US" w:eastAsia="zh-CN" w:bidi="ar"/>
              </w:rPr>
              <w:t>总价</w:t>
            </w:r>
          </w:p>
        </w:tc>
      </w:tr>
      <w:tr w14:paraId="10ECBA3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0" w:type="pct"/>
            <w:tcBorders>
              <w:tl2br w:val="nil"/>
              <w:tr2bl w:val="nil"/>
            </w:tcBorders>
            <w:shd w:val="clear" w:color="auto" w:fill="auto"/>
            <w:noWrap w:val="0"/>
            <w:tcMar>
              <w:top w:w="96" w:type="dxa"/>
              <w:left w:w="96" w:type="dxa"/>
              <w:bottom w:w="96" w:type="dxa"/>
              <w:right w:w="96" w:type="dxa"/>
            </w:tcMar>
            <w:vAlign w:val="center"/>
          </w:tcPr>
          <w:p w14:paraId="1A792B08">
            <w:pPr>
              <w:keepNext w:val="0"/>
              <w:keepLines w:val="0"/>
              <w:widowControl/>
              <w:suppressLineNumbers w:val="0"/>
              <w:snapToGrid w:val="0"/>
              <w:jc w:val="left"/>
            </w:pPr>
            <w:r>
              <w:rPr>
                <w:rFonts w:ascii="宋体" w:hAnsi="宋体" w:eastAsia="宋体" w:cs="宋体"/>
                <w:snapToGrid w:val="0"/>
                <w:color w:val="000000"/>
                <w:kern w:val="0"/>
                <w:sz w:val="24"/>
                <w:szCs w:val="24"/>
                <w:lang w:val="en-US" w:eastAsia="zh-CN" w:bidi="ar"/>
              </w:rPr>
              <w:t>智慧种植与加工专业群课程配套二维动画资源</w:t>
            </w:r>
          </w:p>
        </w:tc>
        <w:tc>
          <w:tcPr>
            <w:tcW w:w="3213" w:type="pct"/>
            <w:tcBorders>
              <w:tl2br w:val="nil"/>
              <w:tr2bl w:val="nil"/>
            </w:tcBorders>
            <w:shd w:val="clear" w:color="auto" w:fill="auto"/>
            <w:noWrap w:val="0"/>
            <w:tcMar>
              <w:top w:w="96" w:type="dxa"/>
              <w:left w:w="96" w:type="dxa"/>
              <w:bottom w:w="96" w:type="dxa"/>
              <w:right w:w="96" w:type="dxa"/>
            </w:tcMar>
            <w:vAlign w:val="center"/>
          </w:tcPr>
          <w:p w14:paraId="7D894225">
            <w:pPr>
              <w:keepNext w:val="0"/>
              <w:keepLines w:val="0"/>
              <w:widowControl/>
              <w:suppressLineNumbers w:val="0"/>
              <w:snapToGrid w:val="0"/>
              <w:jc w:val="left"/>
            </w:pPr>
            <w:r>
              <w:rPr>
                <w:rFonts w:ascii="宋体" w:hAnsi="宋体" w:eastAsia="宋体" w:cs="宋体"/>
                <w:snapToGrid w:val="0"/>
                <w:color w:val="000000"/>
                <w:kern w:val="0"/>
                <w:sz w:val="24"/>
                <w:szCs w:val="24"/>
                <w:lang w:val="en-US" w:eastAsia="zh-CN" w:bidi="ar"/>
              </w:rPr>
              <w:t>一、总体建设要求1.资源须严格遵循职业教育教学规律，紧密贴合对应课程教学大纲、人才培养方案与教学目标，围绕农学专业核心知识点、实操重难点开发，内容科学严谨，无科学性错误，突出专业技能培养，贴合农业产业最新发展实际。2.资源建设遵循“一体化设计、结构化课程、颗粒化资源、多场景应用”原则，适配泛在学习环境与混合式教学场景，支持多终端、多平台灵活调用，满足线上线下多样化教学需求。3.供应商须与采购方教学团队开展全流程深度协作，共同完成教学设计研讨、脚本打磨、分镜确认、制作优化、验收修改全环节工作，确保资源与课程内容高度匹配，完全满足教学实际需求。二、内容制作全流程要求1.脚本与分镜制作：须配合采购方教学团队完成教学脚本优化、动态分镜制作，分镜须明确场景、时长、动作、配音、字幕等核心要素，经采购方确认后方可进入制作环节，不得擅自更改确认后的分镜内容、时长与核心设计。2.动画制作规范：（1）动画整体制作精良，线条流畅细腻，色彩搭配协调且贴合教学场景，画面元素绘制写实规范，符合农学专业教学的严谨性要求；（2）可根据教学脚本内容，灵活运用动作补间、形状补间、逐帧动画、遮罩动画、引导层动画等多种动画表现形式，完整、生动、清晰地呈现教学知识点；（3）动画转场以硬切换或淡入淡出等常规教学视频转场形式为主，非常规转场效果须经采购方确认后方可使用，避免出现与教学无关的特效与冗余内容；（4）动画板式简约规范，须在合适位置标注课程名称、模块（章/节）序号与名称，背景设计贴合教学主题，命名规范统一。3.音视频与字幕制作：（1）须为动画配备专业配音、背景音乐与同步解说字幕，配音采用标准普通话，语调适配教学场景，清晰流畅；背景音乐贴合教学氛围，不干扰人声讲解；（2）字幕与画面、语音精准同步，显示时长满足学习者阅读需求，字体大小、颜色与画面协调，无遮挡、无错漏，文字清晰可辨；（3）动画片头、片尾设计规范，时长均不超过10秒，清晰标注课程核心信息，设计贴合农学专业教学定位，视觉效果简洁专业。三、配套工具与服务要求1.教学设计服务：供应商须配备专业的教学设计与制作团队，为项目提供教学专家指导、脚本策划、课程模板开发、教学价值提炼等全流程配套服务，保障资源的教学适用性。2.内容质量管控：项目团队须有具备农学行业产教融合经验、职业教育教学经验的专业人员参与内容审核与设计，确保资源内容贴合行业发展实际与人才培养要求，融入农业生产实际案例，强化实践教学属性。3.配套工具保障：供应商须具备项目制作所需的正版授权工具与系统支撑能力，包括但不限于AI配音工具、数字素材管理工具、资源审核工具，保障制作全流程合规、高效，无版权纠纷。4.售后与适配服务：须提供资源的免费修改优化、格式转换、平台适配服务，保障资源可正常嵌入采购方指定的学银在线平台及其他教学平台使用；项目验收后须提供不少于1年的免费技术支持服务。四、交付与版权要求1.须按采购方要求交付动画成片及全部原始制作素材，包括但不限于分镜文件、工程文件、音视频原始素材、字幕文件等，原始素材与成片母带须留存不少于2年，同步拷贝至采购方指定位置统一归档。2.本项目所制作的全部动画资源完整版权、使用权、修改权均归采购方所有，供应商须保障交付资源无任何版权纠纷，若因版权问题产生相关责任，由供应商全部承担。</w:t>
            </w:r>
          </w:p>
        </w:tc>
        <w:tc>
          <w:tcPr>
            <w:tcW w:w="274" w:type="pct"/>
            <w:tcBorders>
              <w:tl2br w:val="nil"/>
              <w:tr2bl w:val="nil"/>
            </w:tcBorders>
            <w:shd w:val="clear" w:color="auto" w:fill="auto"/>
            <w:noWrap w:val="0"/>
            <w:tcMar>
              <w:top w:w="96" w:type="dxa"/>
              <w:left w:w="96" w:type="dxa"/>
              <w:bottom w:w="96" w:type="dxa"/>
              <w:right w:w="96" w:type="dxa"/>
            </w:tcMar>
            <w:vAlign w:val="center"/>
          </w:tcPr>
          <w:p w14:paraId="13F491A3">
            <w:pPr>
              <w:keepNext w:val="0"/>
              <w:keepLines w:val="0"/>
              <w:widowControl/>
              <w:suppressLineNumbers w:val="0"/>
              <w:snapToGrid w:val="0"/>
              <w:jc w:val="left"/>
            </w:pPr>
            <w:r>
              <w:rPr>
                <w:rFonts w:ascii="宋体" w:hAnsi="宋体" w:eastAsia="宋体" w:cs="宋体"/>
                <w:snapToGrid w:val="0"/>
                <w:color w:val="000000"/>
                <w:kern w:val="0"/>
                <w:sz w:val="24"/>
                <w:szCs w:val="24"/>
                <w:lang w:val="en-US" w:eastAsia="zh-CN" w:bidi="ar"/>
              </w:rPr>
              <w:t>6</w:t>
            </w:r>
          </w:p>
        </w:tc>
        <w:tc>
          <w:tcPr>
            <w:tcW w:w="274" w:type="pct"/>
            <w:tcBorders>
              <w:tl2br w:val="nil"/>
              <w:tr2bl w:val="nil"/>
            </w:tcBorders>
            <w:shd w:val="clear" w:color="auto" w:fill="auto"/>
            <w:noWrap w:val="0"/>
            <w:tcMar>
              <w:top w:w="96" w:type="dxa"/>
              <w:left w:w="96" w:type="dxa"/>
              <w:bottom w:w="96" w:type="dxa"/>
              <w:right w:w="96" w:type="dxa"/>
            </w:tcMar>
            <w:vAlign w:val="center"/>
          </w:tcPr>
          <w:p w14:paraId="2A0D9CAF">
            <w:pPr>
              <w:keepNext w:val="0"/>
              <w:keepLines w:val="0"/>
              <w:widowControl/>
              <w:suppressLineNumbers w:val="0"/>
              <w:snapToGrid w:val="0"/>
              <w:jc w:val="left"/>
            </w:pPr>
          </w:p>
        </w:tc>
        <w:tc>
          <w:tcPr>
            <w:tcW w:w="274" w:type="pct"/>
            <w:tcBorders>
              <w:tl2br w:val="nil"/>
              <w:tr2bl w:val="nil"/>
            </w:tcBorders>
            <w:shd w:val="clear" w:color="auto" w:fill="auto"/>
            <w:noWrap w:val="0"/>
            <w:tcMar>
              <w:top w:w="96" w:type="dxa"/>
              <w:left w:w="96" w:type="dxa"/>
              <w:bottom w:w="96" w:type="dxa"/>
              <w:right w:w="96" w:type="dxa"/>
            </w:tcMar>
            <w:vAlign w:val="center"/>
          </w:tcPr>
          <w:p w14:paraId="70F3B281">
            <w:pPr>
              <w:snapToGrid w:val="0"/>
              <w:jc w:val="left"/>
              <w:rPr>
                <w:rFonts w:hint="eastAsia" w:ascii="宋体"/>
                <w:sz w:val="24"/>
                <w:szCs w:val="24"/>
              </w:rPr>
            </w:pPr>
          </w:p>
        </w:tc>
        <w:tc>
          <w:tcPr>
            <w:tcW w:w="281" w:type="pct"/>
            <w:tcBorders>
              <w:tl2br w:val="nil"/>
              <w:tr2bl w:val="nil"/>
            </w:tcBorders>
            <w:shd w:val="clear" w:color="auto" w:fill="auto"/>
            <w:noWrap w:val="0"/>
            <w:tcMar>
              <w:top w:w="96" w:type="dxa"/>
              <w:left w:w="96" w:type="dxa"/>
              <w:bottom w:w="96" w:type="dxa"/>
              <w:right w:w="96" w:type="dxa"/>
            </w:tcMar>
            <w:vAlign w:val="center"/>
          </w:tcPr>
          <w:p w14:paraId="021F242C">
            <w:pPr>
              <w:snapToGrid w:val="0"/>
              <w:jc w:val="left"/>
              <w:rPr>
                <w:rFonts w:hint="eastAsia" w:ascii="宋体"/>
                <w:sz w:val="24"/>
                <w:szCs w:val="24"/>
              </w:rPr>
            </w:pPr>
          </w:p>
        </w:tc>
      </w:tr>
      <w:tr w14:paraId="09672F8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680" w:type="pct"/>
            <w:tcBorders>
              <w:tl2br w:val="nil"/>
              <w:tr2bl w:val="nil"/>
            </w:tcBorders>
            <w:shd w:val="clear" w:color="auto" w:fill="auto"/>
            <w:noWrap w:val="0"/>
            <w:tcMar>
              <w:top w:w="96" w:type="dxa"/>
              <w:left w:w="96" w:type="dxa"/>
              <w:bottom w:w="96" w:type="dxa"/>
              <w:right w:w="96" w:type="dxa"/>
            </w:tcMar>
            <w:vAlign w:val="center"/>
          </w:tcPr>
          <w:p w14:paraId="6FDF7114">
            <w:pPr>
              <w:keepNext w:val="0"/>
              <w:keepLines w:val="0"/>
              <w:widowControl/>
              <w:suppressLineNumbers w:val="0"/>
              <w:snapToGrid w:val="0"/>
              <w:jc w:val="left"/>
            </w:pPr>
            <w:r>
              <w:rPr>
                <w:rFonts w:ascii="宋体" w:hAnsi="宋体" w:eastAsia="宋体" w:cs="宋体"/>
                <w:snapToGrid w:val="0"/>
                <w:color w:val="000000"/>
                <w:kern w:val="0"/>
                <w:sz w:val="24"/>
                <w:szCs w:val="24"/>
                <w:lang w:val="en-US" w:eastAsia="zh-CN" w:bidi="ar"/>
              </w:rPr>
              <w:t>智慧种植与加工专业群课程专属定制数字人资源</w:t>
            </w:r>
          </w:p>
        </w:tc>
        <w:tc>
          <w:tcPr>
            <w:tcW w:w="3213" w:type="pct"/>
            <w:tcBorders>
              <w:tl2br w:val="nil"/>
              <w:tr2bl w:val="nil"/>
            </w:tcBorders>
            <w:shd w:val="clear" w:color="auto" w:fill="auto"/>
            <w:noWrap w:val="0"/>
            <w:tcMar>
              <w:top w:w="96" w:type="dxa"/>
              <w:left w:w="96" w:type="dxa"/>
              <w:bottom w:w="96" w:type="dxa"/>
              <w:right w:w="96" w:type="dxa"/>
            </w:tcMar>
            <w:vAlign w:val="center"/>
          </w:tcPr>
          <w:p w14:paraId="349A9F26">
            <w:pPr>
              <w:keepNext w:val="0"/>
              <w:keepLines w:val="0"/>
              <w:widowControl/>
              <w:suppressLineNumbers w:val="0"/>
              <w:snapToGrid w:val="0"/>
              <w:jc w:val="left"/>
            </w:pPr>
            <w:r>
              <w:rPr>
                <w:rFonts w:ascii="宋体" w:hAnsi="宋体" w:eastAsia="宋体" w:cs="宋体"/>
                <w:snapToGrid w:val="0"/>
                <w:color w:val="000000"/>
                <w:kern w:val="0"/>
                <w:sz w:val="24"/>
                <w:szCs w:val="24"/>
                <w:lang w:val="en-US" w:eastAsia="zh-CN" w:bidi="ar"/>
              </w:rPr>
              <w:t>一、总体定制要求1.为每门课程定制1个专属数字人形象，合计6个，形象设计贴合农学专业教学场景与对应课程定位，支持采购方全程参与设计、优化、调整，最终形象须完全符合采购方定制化需求，适配教学视频制作、课程讲解、线上教学展示等多场景使用。2.数字人须具备稳定、可持续的智能驱动能力，操作便捷易上手，可满足采购方日常教学视频制作、课程内容更新、知识点讲解等常态化使用需求，适配职业教育教学全场景。二、核心功能要求1.智能语音驱动功能：支持AI语音驱动，可根据输入的文本或音频内容，自动匹配数字人口型、面部表情与肢体动作，实现音画实时同步，口型与发音精准匹配，表情动作自然流畅，贴合教学讲解语境，无明显违和感。2.一体化视频生成功能：数字人须内嵌一体化视频生成工具，集成文本转语音、智能唇形合成、画面渲染、视频导出等核心AI能力，操作流程简洁直观，可快速生成符合教学要求的高清数字人讲解视频。3.多场景适配功能：生成的数字人视频可无缝嵌入采购方指定的学银在线平台及其他主流教学平台，支持PC端、移动端、智慧黑板等多终端流畅播放，无兼容性问题。4.可扩展性要求：支持数字人形象的后续优化调整，支持多场景背景替换、动作模板更新，适配课程内容迭代更新的长期使用需求。三、配套服务要求1.全流程定制服务：供应商须提供数字人形象设计、模型制作、优化调试、功能适配全流程定制服务，配合采购方完成多轮修改调整，直至形象与功能符合采购方要求。2.操作培训服务：须为采购方使用人员提供免费的线下/线上操作培训与技术指导，确保使用人员可独立完成数字人视频制作、形象调整、内容更新等全流程操作。3.售后技术服务：项目验收合格后，须提供不少于1年的免费售后维护与技术支持服务，包括系统更新、bug修复、功能优化、操作答疑等，保障数字人工具稳定运行；免费服务期后须提供长期优惠的技术维护服务。4.平台对接服务：须配合采购方完成数字人资源与6门对应课程的对接适配工作，确保数字人资源可正常嵌入课程各个模块使用，满足线上教学需求。四、交付与资料要求1.须交付数字人形象源文件、定制化模型文件、功能使用手册、技术白皮书等全套资料，确保采购方可完整掌握使用方法。2.须提供数字人核心功能的验证材料，确保所有功能均可正常实现，完全满足采购方教学使用需求。</w:t>
            </w:r>
          </w:p>
        </w:tc>
        <w:tc>
          <w:tcPr>
            <w:tcW w:w="274" w:type="pct"/>
            <w:tcBorders>
              <w:tl2br w:val="nil"/>
              <w:tr2bl w:val="nil"/>
            </w:tcBorders>
            <w:shd w:val="clear" w:color="auto" w:fill="auto"/>
            <w:noWrap w:val="0"/>
            <w:tcMar>
              <w:top w:w="96" w:type="dxa"/>
              <w:left w:w="96" w:type="dxa"/>
              <w:bottom w:w="96" w:type="dxa"/>
              <w:right w:w="96" w:type="dxa"/>
            </w:tcMar>
            <w:vAlign w:val="center"/>
          </w:tcPr>
          <w:p w14:paraId="21A5BAA4">
            <w:pPr>
              <w:keepNext w:val="0"/>
              <w:keepLines w:val="0"/>
              <w:widowControl/>
              <w:suppressLineNumbers w:val="0"/>
              <w:snapToGrid w:val="0"/>
              <w:jc w:val="left"/>
            </w:pPr>
            <w:r>
              <w:rPr>
                <w:rFonts w:ascii="宋体" w:hAnsi="宋体" w:eastAsia="宋体" w:cs="宋体"/>
                <w:snapToGrid w:val="0"/>
                <w:color w:val="000000"/>
                <w:kern w:val="0"/>
                <w:sz w:val="24"/>
                <w:szCs w:val="24"/>
                <w:lang w:val="en-US" w:eastAsia="zh-CN" w:bidi="ar"/>
              </w:rPr>
              <w:t>6</w:t>
            </w:r>
          </w:p>
        </w:tc>
        <w:tc>
          <w:tcPr>
            <w:tcW w:w="274" w:type="pct"/>
            <w:tcBorders>
              <w:tl2br w:val="nil"/>
              <w:tr2bl w:val="nil"/>
            </w:tcBorders>
            <w:shd w:val="clear" w:color="auto" w:fill="auto"/>
            <w:noWrap w:val="0"/>
            <w:tcMar>
              <w:top w:w="96" w:type="dxa"/>
              <w:left w:w="96" w:type="dxa"/>
              <w:bottom w:w="96" w:type="dxa"/>
              <w:right w:w="96" w:type="dxa"/>
            </w:tcMar>
            <w:vAlign w:val="center"/>
          </w:tcPr>
          <w:p w14:paraId="3660F314">
            <w:pPr>
              <w:keepNext w:val="0"/>
              <w:keepLines w:val="0"/>
              <w:widowControl/>
              <w:suppressLineNumbers w:val="0"/>
              <w:snapToGrid w:val="0"/>
              <w:jc w:val="left"/>
            </w:pPr>
          </w:p>
        </w:tc>
        <w:tc>
          <w:tcPr>
            <w:tcW w:w="274" w:type="pct"/>
            <w:tcBorders>
              <w:tl2br w:val="nil"/>
              <w:tr2bl w:val="nil"/>
            </w:tcBorders>
            <w:shd w:val="clear" w:color="auto" w:fill="auto"/>
            <w:noWrap w:val="0"/>
            <w:tcMar>
              <w:top w:w="96" w:type="dxa"/>
              <w:left w:w="96" w:type="dxa"/>
              <w:bottom w:w="96" w:type="dxa"/>
              <w:right w:w="96" w:type="dxa"/>
            </w:tcMar>
            <w:vAlign w:val="center"/>
          </w:tcPr>
          <w:p w14:paraId="1B1949AF">
            <w:pPr>
              <w:snapToGrid w:val="0"/>
              <w:jc w:val="left"/>
              <w:rPr>
                <w:rFonts w:hint="eastAsia" w:ascii="宋体"/>
                <w:sz w:val="24"/>
                <w:szCs w:val="24"/>
              </w:rPr>
            </w:pPr>
          </w:p>
        </w:tc>
        <w:tc>
          <w:tcPr>
            <w:tcW w:w="281" w:type="pct"/>
            <w:tcBorders>
              <w:tl2br w:val="nil"/>
              <w:tr2bl w:val="nil"/>
            </w:tcBorders>
            <w:shd w:val="clear" w:color="auto" w:fill="auto"/>
            <w:noWrap w:val="0"/>
            <w:tcMar>
              <w:top w:w="96" w:type="dxa"/>
              <w:left w:w="96" w:type="dxa"/>
              <w:bottom w:w="96" w:type="dxa"/>
              <w:right w:w="96" w:type="dxa"/>
            </w:tcMar>
            <w:vAlign w:val="center"/>
          </w:tcPr>
          <w:p w14:paraId="05926528">
            <w:pPr>
              <w:snapToGrid w:val="0"/>
              <w:jc w:val="left"/>
              <w:rPr>
                <w:rFonts w:hint="eastAsia" w:ascii="宋体"/>
                <w:sz w:val="24"/>
                <w:szCs w:val="24"/>
              </w:rPr>
            </w:pPr>
          </w:p>
        </w:tc>
      </w:tr>
      <w:tr w14:paraId="5E68F39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5000" w:type="pct"/>
            <w:gridSpan w:val="6"/>
            <w:tcBorders>
              <w:tl2br w:val="nil"/>
              <w:tr2bl w:val="nil"/>
            </w:tcBorders>
            <w:shd w:val="clear" w:color="auto" w:fill="auto"/>
            <w:noWrap w:val="0"/>
            <w:tcMar>
              <w:top w:w="96" w:type="dxa"/>
              <w:left w:w="96" w:type="dxa"/>
              <w:bottom w:w="96" w:type="dxa"/>
              <w:right w:w="96" w:type="dxa"/>
            </w:tcMar>
            <w:vAlign w:val="center"/>
          </w:tcPr>
          <w:p w14:paraId="5A4253AA">
            <w:pPr>
              <w:keepNext w:val="0"/>
              <w:keepLines w:val="0"/>
              <w:widowControl/>
              <w:suppressLineNumbers w:val="0"/>
              <w:snapToGrid w:val="0"/>
              <w:jc w:val="center"/>
            </w:pPr>
            <w:r>
              <w:rPr>
                <w:rFonts w:ascii="宋体" w:hAnsi="宋体" w:eastAsia="宋体" w:cs="宋体"/>
                <w:snapToGrid w:val="0"/>
                <w:color w:val="000000"/>
                <w:kern w:val="0"/>
                <w:sz w:val="24"/>
                <w:szCs w:val="24"/>
                <w:lang w:val="en-US" w:eastAsia="zh-CN" w:bidi="ar"/>
              </w:rPr>
              <w:t>合计金额：</w:t>
            </w:r>
          </w:p>
        </w:tc>
      </w:tr>
    </w:tbl>
    <w:p w14:paraId="6629C404">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Segoe UI Emoji">
    <w:panose1 w:val="020B0502040204020203"/>
    <w:charset w:val="00"/>
    <w:family w:val="auto"/>
    <w:pitch w:val="default"/>
    <w:sig w:usb0="00000001" w:usb1="02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DA3"/>
    <w:rsid w:val="000A7EFB"/>
    <w:rsid w:val="0015255C"/>
    <w:rsid w:val="00330F6C"/>
    <w:rsid w:val="004C099F"/>
    <w:rsid w:val="004F04E8"/>
    <w:rsid w:val="00710685"/>
    <w:rsid w:val="007A70CC"/>
    <w:rsid w:val="00806523"/>
    <w:rsid w:val="00AE74CC"/>
    <w:rsid w:val="00C85CFA"/>
    <w:rsid w:val="00CA665F"/>
    <w:rsid w:val="00CF5021"/>
    <w:rsid w:val="00D62403"/>
    <w:rsid w:val="00E15DA3"/>
    <w:rsid w:val="00E40598"/>
    <w:rsid w:val="00E5509A"/>
    <w:rsid w:val="00E970E3"/>
    <w:rsid w:val="00ED0CE7"/>
    <w:rsid w:val="04583A5F"/>
    <w:rsid w:val="081A7B0D"/>
    <w:rsid w:val="08C1489E"/>
    <w:rsid w:val="08F03ACA"/>
    <w:rsid w:val="126E47A3"/>
    <w:rsid w:val="1B214753"/>
    <w:rsid w:val="1CF2284B"/>
    <w:rsid w:val="1ED23F5F"/>
    <w:rsid w:val="1F065DFC"/>
    <w:rsid w:val="23137920"/>
    <w:rsid w:val="2397058E"/>
    <w:rsid w:val="23F35334"/>
    <w:rsid w:val="240D19AB"/>
    <w:rsid w:val="243E4A3A"/>
    <w:rsid w:val="2B97119F"/>
    <w:rsid w:val="3B3E6448"/>
    <w:rsid w:val="4111299D"/>
    <w:rsid w:val="4346094B"/>
    <w:rsid w:val="45505E78"/>
    <w:rsid w:val="4B8B4B16"/>
    <w:rsid w:val="4BB920CA"/>
    <w:rsid w:val="55BB0D24"/>
    <w:rsid w:val="5956184F"/>
    <w:rsid w:val="5A696FA1"/>
    <w:rsid w:val="5D783061"/>
    <w:rsid w:val="5DCE7C7E"/>
    <w:rsid w:val="5E53615F"/>
    <w:rsid w:val="62680A65"/>
    <w:rsid w:val="67A56628"/>
    <w:rsid w:val="697D7D3A"/>
    <w:rsid w:val="6A393539"/>
    <w:rsid w:val="6E044B37"/>
    <w:rsid w:val="721F6449"/>
    <w:rsid w:val="729065D7"/>
    <w:rsid w:val="74984D51"/>
    <w:rsid w:val="77CE24BF"/>
    <w:rsid w:val="79444364"/>
    <w:rsid w:val="7A601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spacing w:beforeAutospacing="1" w:afterAutospacing="1"/>
      <w:outlineLvl w:val="0"/>
    </w:pPr>
    <w:rPr>
      <w:rFonts w:hint="eastAsia" w:ascii="宋体" w:hAnsi="宋体" w:eastAsia="宋体" w:cs="Times New Roman"/>
      <w:b/>
      <w:bCs/>
      <w:kern w:val="44"/>
      <w:sz w:val="48"/>
      <w:szCs w:val="48"/>
      <w:lang w:eastAsia="zh-CN"/>
    </w:rPr>
  </w:style>
  <w:style w:type="paragraph" w:styleId="3">
    <w:name w:val="heading 2"/>
    <w:basedOn w:val="1"/>
    <w:next w:val="1"/>
    <w:unhideWhenUsed/>
    <w:qFormat/>
    <w:uiPriority w:val="0"/>
    <w:pPr>
      <w:spacing w:beforeAutospacing="1" w:afterAutospacing="1"/>
      <w:jc w:val="left"/>
      <w:outlineLvl w:val="1"/>
    </w:pPr>
    <w:rPr>
      <w:rFonts w:hint="eastAsia" w:ascii="宋体" w:hAnsi="宋体" w:eastAsia="楷体" w:cs="Times New Roman"/>
      <w:b/>
      <w:kern w:val="0"/>
      <w:sz w:val="30"/>
      <w:szCs w:val="36"/>
    </w:rPr>
  </w:style>
  <w:style w:type="paragraph" w:styleId="4">
    <w:name w:val="heading 3"/>
    <w:basedOn w:val="1"/>
    <w:next w:val="1"/>
    <w:semiHidden/>
    <w:unhideWhenUsed/>
    <w:qFormat/>
    <w:uiPriority w:val="0"/>
    <w:pPr>
      <w:spacing w:beforeAutospacing="1" w:afterAutospacing="1"/>
      <w:outlineLvl w:val="2"/>
    </w:pPr>
    <w:rPr>
      <w:rFonts w:hint="eastAsia" w:ascii="宋体" w:hAnsi="宋体" w:eastAsia="宋体" w:cs="Times New Roman"/>
      <w:b/>
      <w:bCs/>
      <w:sz w:val="27"/>
      <w:szCs w:val="27"/>
      <w:lang w:eastAsia="zh-CN"/>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semiHidden/>
    <w:qFormat/>
    <w:uiPriority w:val="0"/>
  </w:style>
  <w:style w:type="paragraph" w:styleId="6">
    <w:name w:val="Plain Text"/>
    <w:basedOn w:val="1"/>
    <w:qFormat/>
    <w:uiPriority w:val="0"/>
    <w:rPr>
      <w:rFonts w:ascii="宋体" w:hAnsi="Courier New" w:cs="Courier New"/>
      <w:szCs w:val="21"/>
    </w:rPr>
  </w:style>
  <w:style w:type="paragraph" w:styleId="7">
    <w:name w:val="footer"/>
    <w:basedOn w:val="1"/>
    <w:link w:val="16"/>
    <w:qFormat/>
    <w:uiPriority w:val="0"/>
    <w:pPr>
      <w:tabs>
        <w:tab w:val="center" w:pos="4153"/>
        <w:tab w:val="right" w:pos="8306"/>
      </w:tabs>
    </w:pPr>
    <w:rPr>
      <w:sz w:val="18"/>
      <w:szCs w:val="18"/>
    </w:rPr>
  </w:style>
  <w:style w:type="paragraph" w:styleId="8">
    <w:name w:val="header"/>
    <w:basedOn w:val="1"/>
    <w:link w:val="15"/>
    <w:qFormat/>
    <w:uiPriority w:val="0"/>
    <w:pPr>
      <w:tabs>
        <w:tab w:val="center" w:pos="4153"/>
        <w:tab w:val="right" w:pos="8306"/>
      </w:tabs>
      <w:jc w:val="center"/>
    </w:pPr>
    <w:rPr>
      <w:sz w:val="18"/>
      <w:szCs w:val="18"/>
    </w:rPr>
  </w:style>
  <w:style w:type="paragraph" w:styleId="9">
    <w:name w:val="Normal (Web)"/>
    <w:basedOn w:val="1"/>
    <w:qFormat/>
    <w:uiPriority w:val="0"/>
    <w:pPr>
      <w:kinsoku/>
      <w:autoSpaceDE/>
      <w:autoSpaceDN/>
      <w:adjustRightInd/>
      <w:snapToGrid/>
      <w:spacing w:after="160" w:line="278" w:lineRule="auto"/>
      <w:textAlignment w:val="auto"/>
    </w:pPr>
    <w:rPr>
      <w:rFonts w:ascii="宋体" w:hAnsi="宋体" w:cs="宋体" w:eastAsiaTheme="minorEastAsia"/>
      <w:snapToGrid/>
      <w:color w:val="auto"/>
      <w:sz w:val="24"/>
      <w:szCs w:val="24"/>
      <w:lang w:eastAsia="zh-C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styleId="14">
    <w:name w:val="List Paragraph"/>
    <w:basedOn w:val="1"/>
    <w:qFormat/>
    <w:uiPriority w:val="34"/>
    <w:pPr>
      <w:ind w:firstLine="420" w:firstLineChars="200"/>
    </w:pPr>
  </w:style>
  <w:style w:type="character" w:customStyle="1" w:styleId="15">
    <w:name w:val="页眉 字符"/>
    <w:basedOn w:val="12"/>
    <w:link w:val="8"/>
    <w:qFormat/>
    <w:uiPriority w:val="0"/>
    <w:rPr>
      <w:rFonts w:ascii="Arial" w:hAnsi="Arial" w:eastAsia="Arial" w:cs="Arial"/>
      <w:snapToGrid w:val="0"/>
      <w:color w:val="000000"/>
      <w:sz w:val="18"/>
      <w:szCs w:val="18"/>
      <w:lang w:eastAsia="en-US"/>
    </w:rPr>
  </w:style>
  <w:style w:type="character" w:customStyle="1" w:styleId="16">
    <w:name w:val="页脚 字符"/>
    <w:basedOn w:val="12"/>
    <w:link w:val="7"/>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d3ab3a11-19d7-4f3f-acdd-5c9eac5203fc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3FD8F48B</paraID>
      <start>46</start>
      <end>47</end>
      <status>modified</status>
      <modifiedWord>—</modifiedWord>
      <trackRevisions>false</trackRevisions>
    </reviewItem>
    <reviewItem>
      <errorID>fe7b727a-915a-4194-8117-e5bba4842b5a</errorID>
      <errorWord>实力</errorWord>
      <group>L1_Word</group>
      <groupName>字词问题</groupName>
      <ability>L2_Typo</ability>
      <abilityName>字词错误</abilityName>
      <candidateList>
        <item>力</item>
      </candidateList>
      <explain/>
      <paraID>42BC29C2</paraID>
      <start>153</start>
      <end>154</end>
      <status>modified</status>
      <modifiedWord>力</modifiedWord>
      <trackRevisions>false</trackRevisions>
    </reviewItem>
    <reviewItem>
      <errorID>af3181d1-6dc0-497c-ac95-1bdabff8faee</errorID>
      <errorWord>板式</errorWord>
      <group>L1_Word</group>
      <groupName>字词问题</groupName>
      <ability>L2_Typo</ability>
      <abilityName>字词错误</abilityName>
      <candidateList>
        <item>版式</item>
      </candidateList>
      <explain>〈名〉版面的格式。</explain>
      <paraID>419A96E7</paraID>
      <start>267</start>
      <end>269</end>
      <status>modified</status>
      <modifiedWord>版式</modifiedWord>
      <trackRevisions>false</trackRevisions>
    </reviewItem>
    <reviewItem>
      <errorID>86d4eba6-bf57-4368-b2e7-8143b52d2f1d</errorID>
      <errorWord>2-3分钟</errorWord>
      <group>L1_Word</group>
      <groupName>字词问题</groupName>
      <ability>L2_Typo</ability>
      <abilityName>字词错误</abilityName>
      <candidateList>
        <item>2～3分钟</item>
      </candidateList>
      <explain/>
      <paraID>419A96E7</paraID>
      <start>374</start>
      <end>379</end>
      <status>modified</status>
      <modifiedWord>2～3分钟</modifiedWord>
      <trackRevisions>false</trackRevisions>
    </reviewItem>
    <reviewItem>
      <errorID>fe965448-8e3e-47fb-a70c-c8ceb415ac0c</errorID>
      <errorWord>8db</errorWord>
      <group>L1_AI</group>
      <groupName>深度校对</groupName>
      <ability>L2_AI_Word</ability>
      <abilityName>字词纠错</abilityName>
      <candidateList>
        <item>8dB</item>
      </candidateList>
      <explain/>
      <paraID>419A96E7</paraID>
      <start>754</start>
      <end>757</end>
      <status>modified</status>
      <modifiedWord>8dB</modifiedWord>
      <trackRevisions>false</trackRevisions>
    </reviewItem>
    <reviewItem>
      <errorID>f1926fa4-1f2c-4a39-a1aa-6a2edcc73312</errorID>
      <errorWord>噪音</errorWord>
      <group>L1_Word</group>
      <groupName>字词问题</groupName>
      <ability>L2_Alias</ability>
      <abilityName>也作/曾用词</abilityName>
      <candidateList>
        <item>噪声</item>
      </candidateList>
      <explain>词汇[噪音]为不规范表述或旧称，其规范书面表述为[噪声]。</explain>
      <paraID>419A96E7</paraID>
      <start>816</start>
      <end>818</end>
      <status>modified</status>
      <modifiedWord>噪声</modifiedWord>
      <trackRevisions>false</trackRevisions>
    </reviewItem>
  </reviewItems>
  <config/>
</contractReview>
</file>

<file path=customXml/itemProps1.xml><?xml version="1.0" encoding="utf-8"?>
<ds:datastoreItem xmlns:ds="http://schemas.openxmlformats.org/officeDocument/2006/customXml" ds:itemID="{075f4198-47a2-43cf-a634-78d8a5a04399}">
  <ds:schemaRefs/>
</ds:datastoreItem>
</file>

<file path=docProps/app.xml><?xml version="1.0" encoding="utf-8"?>
<Properties xmlns="http://schemas.openxmlformats.org/officeDocument/2006/extended-properties" xmlns:vt="http://schemas.openxmlformats.org/officeDocument/2006/docPropsVTypes">
  <Template>Normal.dotm</Template>
  <Pages>4</Pages>
  <Words>3013</Words>
  <Characters>3058</Characters>
  <Lines>324</Lines>
  <Paragraphs>161</Paragraphs>
  <TotalTime>2</TotalTime>
  <ScaleCrop>false</ScaleCrop>
  <LinksUpToDate>false</LinksUpToDate>
  <CharactersWithSpaces>3058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2025-11-13T00:37:00Z</dcterms:created>
  <dc:creator>DELL</dc:creator>
  <cp:lastModifiedBy>会飞的鱼</cp:lastModifiedBy>
  <dcterms:modified xsi:type="dcterms:W3CDTF">2026-03-09T07:31:34Z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eyJoZGlkIjoiMjA4NTRmMjQ5ZjQxZWVhNTUyMjFmMTgxNjk4OWZlYzEiLCJ1c2VySWQiOiIyNjY0NDA3NzEifQ==</vt:lpwstr>
  </property>
  <property fmtid="{D5CDD505-2E9C-101B-9397-08002B2CF9AE}" pid="4" name="ICV">
    <vt:lpwstr>ADFCB1D7C55F483D8B4E5AB83FB5DDF1_12</vt:lpwstr>
  </property>
</Properties>
</file>