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F3177">
      <w:pPr>
        <w:pStyle w:val="19"/>
        <w:keepNext w:val="0"/>
        <w:keepLines w:val="0"/>
        <w:pageBreakBefore w:val="0"/>
        <w:kinsoku/>
        <w:wordWrap/>
        <w:overflowPunct/>
        <w:autoSpaceDE/>
        <w:autoSpaceDN/>
        <w:bidi w:val="0"/>
        <w:adjustRightInd/>
        <w:snapToGrid/>
        <w:spacing w:line="400" w:lineRule="exact"/>
        <w:textAlignment w:val="auto"/>
      </w:pPr>
      <w:bookmarkStart w:id="11" w:name="_GoBack"/>
      <w:bookmarkEnd w:id="11"/>
      <w:r>
        <w:t>黑龙江农业职业技术学院</w:t>
      </w:r>
      <w:r>
        <w:br w:type="textWrapping"/>
      </w:r>
      <w:r>
        <w:t xml:space="preserve">智慧农业具身数采中心项目需求</w:t>
      </w:r>
    </w:p>
    <w:p w14:paraId="1A8D880B">
      <w:pPr>
        <w:keepNext w:val="0"/>
        <w:keepLines w:val="0"/>
        <w:pageBreakBefore w:val="0"/>
        <w:kinsoku/>
        <w:wordWrap/>
        <w:overflowPunct/>
        <w:autoSpaceDE/>
        <w:autoSpaceDN/>
        <w:bidi w:val="0"/>
        <w:adjustRightInd/>
        <w:snapToGrid/>
        <w:spacing w:afterAutospacing="0" w:line="400" w:lineRule="exact"/>
        <w:textAlignment w:val="auto"/>
        <w:rPr>
          <w:rFonts w:hint="default" w:ascii="Times New Roman" w:hAnsi="Times New Roman" w:cs="Times New Roman"/>
          <w:lang w:val="en-US" w:eastAsia="zh-CN"/>
        </w:rPr>
      </w:pPr>
    </w:p>
    <w:p w14:paraId="6F926FEF">
      <w:pPr>
        <w:pStyle w:val="2"/>
        <w:keepNext w:val="0"/>
        <w:keepLines w:val="0"/>
        <w:pageBreakBefore w:val="0"/>
        <w:numPr>
          <w:ilvl w:val="0"/>
          <w:numId w:val="1"/>
        </w:numPr>
        <w:kinsoku/>
        <w:wordWrap/>
        <w:overflowPunct/>
        <w:topLinePunct w:val="0"/>
        <w:autoSpaceDE/>
        <w:autoSpaceDN/>
        <w:bidi w:val="0"/>
        <w:adjustRightInd/>
        <w:snapToGrid/>
        <w:spacing w:line="400" w:lineRule="exact"/>
        <w:ind w:left="0" w:leftChars="0" w:firstLine="640" w:firstLineChars="0"/>
        <w:textAlignment w:val="auto"/>
        <w:rPr>
          <w:b w:val="0"/>
        </w:rPr>
      </w:pPr>
      <w:bookmarkStart w:id="0" w:name="_Toc981623522"/>
      <w:r>
        <w:t>建设背景</w:t>
      </w:r>
      <w:bookmarkEnd w:id="0"/>
    </w:p>
    <w:p w14:paraId="0A9EAA6A">
      <w:pPr>
        <w:pStyle w:val="3"/>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562" w:firstLineChars="200"/>
        <w:textAlignment w:val="auto"/>
        <w:rPr>
          <w:rFonts w:hint="eastAsia" w:ascii="方正仿宋_GBK" w:hAnsi="方正仿宋_GBK" w:eastAsia="方正仿宋_GBK" w:cs="方正仿宋_GBK"/>
        </w:rPr>
      </w:pPr>
      <w:bookmarkStart w:id="1" w:name="_Toc27739"/>
      <w:bookmarkStart w:id="2" w:name="_Toc1177158000"/>
      <w:r>
        <w:rPr>
          <w:rFonts w:hint="eastAsia" w:ascii="方正仿宋_GBK" w:hAnsi="方正仿宋_GBK" w:eastAsia="方正仿宋_GBK" w:cs="方正仿宋_GBK"/>
        </w:rPr>
        <w:t>政策导向</w:t>
      </w:r>
      <w:bookmarkEnd w:id="1"/>
    </w:p>
    <w:p w14:paraId="538C1541">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中共中央办公厅、国务院办公厅《关于深化现代职业教育体系建设改革的意见》明确提出，推动职业教育与产业发展深度融合，围绕重点产业领域培养高素质技术技能人才。随着《"机器人+"应用行动实施方案》落地，具身智能作为人工智能与机器人融合的前沿方向，已成为数字农业装备升级的核心驱动力。黑龙江作为全国粮食核心产区，亟需培育兼具寒地农业场景认知、具身智能装备操作与多模态数据采集处理能力的复合型人才。</w:t>
      </w:r>
    </w:p>
    <w:p w14:paraId="0E9A3901">
      <w:pPr>
        <w:pStyle w:val="3"/>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562" w:firstLineChars="200"/>
        <w:textAlignment w:val="auto"/>
        <w:rPr>
          <w:rFonts w:hint="eastAsia" w:ascii="方正仿宋_GBK" w:hAnsi="方正仿宋_GBK" w:eastAsia="方正仿宋_GBK" w:cs="方正仿宋_GBK"/>
        </w:rPr>
      </w:pPr>
      <w:bookmarkStart w:id="3" w:name="_Toc3146"/>
      <w:r>
        <w:rPr>
          <w:rFonts w:hint="eastAsia" w:ascii="方正仿宋_GBK" w:hAnsi="方正仿宋_GBK" w:eastAsia="方正仿宋_GBK" w:cs="方正仿宋_GBK"/>
        </w:rPr>
        <w:t>区域产业需求</w:t>
      </w:r>
      <w:bookmarkEnd w:id="3"/>
    </w:p>
    <w:p w14:paraId="6E1BA668">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黑龙江是全国粮食核心产区，水稻种植、加工、仓储全产业链智能化改造持续推进，农业人形机器人、田间智能采集装备应用场景逐年增多。本地规模化农场、农业科技企业招聘时普遍反映，应届毕业生不会操作农业人形机器人、不会完成田间多维度数据采集与处理，岗位实操能力不足。同时，全省智慧农业专业群实训设备普遍缺乏具身智能前沿载体，制约专业数字化升级与人才培养质量提升。</w:t>
      </w:r>
    </w:p>
    <w:p w14:paraId="34FFD803">
      <w:pPr>
        <w:pStyle w:val="3"/>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562" w:firstLineChars="200"/>
        <w:textAlignment w:val="auto"/>
        <w:rPr>
          <w:rFonts w:hint="eastAsia" w:ascii="方正仿宋_GBK" w:hAnsi="方正仿宋_GBK" w:eastAsia="方正仿宋_GBK" w:cs="方正仿宋_GBK"/>
        </w:rPr>
      </w:pPr>
      <w:bookmarkStart w:id="4" w:name="_Toc3394"/>
      <w:r>
        <w:rPr>
          <w:rFonts w:hint="eastAsia" w:ascii="方正仿宋_GBK" w:hAnsi="方正仿宋_GBK" w:eastAsia="方正仿宋_GBK" w:cs="方正仿宋_GBK"/>
        </w:rPr>
        <w:t>亟需解决的问题</w:t>
      </w:r>
      <w:bookmarkEnd w:id="4"/>
    </w:p>
    <w:p w14:paraId="1A6E164D">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目前高校培养的学生存在理论教学与实践教学脱节的问题。高校或职业院校培养出的学生往往在理论知识方面有一定储备，但在实际工程现场的动手能力、问题解决能力和团队协作能力相对薄弱。智慧农业具身数采中心建设让学生在真实的工作环境中，将所学的专业课程知识，与工作实践中的项目规划、实施组织、设备安装调试等环节深度融合。学生能够更好地理解理论知识的应用场景，掌握工作实践中的关键技能和技术要点，提高自身的综合素质和就业竞争力，同时也为企业输送能够立即上手工作的实用型人才。</w:t>
      </w:r>
    </w:p>
    <w:p w14:paraId="6E4AB479">
      <w:pPr>
        <w:pStyle w:val="2"/>
        <w:keepNext w:val="0"/>
        <w:keepLines w:val="0"/>
        <w:pageBreakBefore w:val="0"/>
        <w:numPr>
          <w:ilvl w:val="0"/>
          <w:numId w:val="1"/>
        </w:numPr>
        <w:kinsoku/>
        <w:wordWrap/>
        <w:overflowPunct/>
        <w:topLinePunct w:val="0"/>
        <w:autoSpaceDE/>
        <w:autoSpaceDN/>
        <w:bidi w:val="0"/>
        <w:adjustRightInd/>
        <w:snapToGrid/>
        <w:spacing w:line="400" w:lineRule="exact"/>
        <w:ind w:left="0" w:leftChars="0" w:firstLine="640" w:firstLineChars="0"/>
        <w:textAlignment w:val="auto"/>
        <w:rPr>
          <w:b w:val="0"/>
        </w:rPr>
      </w:pPr>
      <w:r>
        <w:t>建设依据</w:t>
      </w:r>
      <w:bookmarkEnd w:id="2"/>
    </w:p>
    <w:p w14:paraId="006FD700">
      <w:pPr>
        <w:pStyle w:val="12"/>
        <w:keepNext w:val="0"/>
        <w:keepLines w:val="0"/>
        <w:pageBreakBefore w:val="0"/>
        <w:widowControl/>
        <w:numPr>
          <w:ilvl w:val="0"/>
          <w:numId w:val="3"/>
        </w:numPr>
        <w:kinsoku/>
        <w:wordWrap/>
        <w:overflowPunct/>
        <w:topLinePunct w:val="0"/>
        <w:autoSpaceDE/>
        <w:autoSpaceDN/>
        <w:bidi w:val="0"/>
        <w:adjustRightInd/>
        <w:snapToGrid/>
        <w:spacing w:line="400" w:lineRule="exact"/>
        <w:ind w:left="0" w:leftChars="0" w:firstLine="562" w:firstLineChars="200"/>
        <w:textAlignment w:val="auto"/>
        <w:rPr>
          <w:rFonts w:hint="eastAsia" w:ascii="方正仿宋_GBK" w:hAnsi="方正仿宋_GBK" w:eastAsia="方正仿宋_GBK" w:cs="方正仿宋_GBK"/>
          <w:b/>
          <w:bCs/>
        </w:rPr>
      </w:pPr>
      <w:bookmarkStart w:id="5" w:name="_Toc145322381"/>
      <w:bookmarkStart w:id="6" w:name="_Toc166161319"/>
      <w:bookmarkStart w:id="7" w:name="_Toc1875149836"/>
      <w:r>
        <w:rPr>
          <w:rFonts w:hint="eastAsia" w:ascii="方正仿宋_GBK" w:hAnsi="方正仿宋_GBK" w:eastAsia="方正仿宋_GBK" w:cs="方正仿宋_GBK"/>
          <w:b/>
          <w:bCs/>
        </w:rPr>
        <w:t xml:space="preserve">政策法规</w:t>
      </w:r>
      <w:bookmarkEnd w:id="5"/>
      <w:bookmarkEnd w:id="6"/>
    </w:p>
    <w:p w14:paraId="69E7E4F5">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《"机器人+"应用行动实施方案》；</w:t>
      </w:r>
    </w:p>
    <w:p w14:paraId="485CF3D5">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《职业教育产教融合赋能提升行动实施方案（2023—2025 年）》（发改社会〔2023〕699 号）；</w:t>
      </w:r>
    </w:p>
    <w:p w14:paraId="02CFA2AA">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《黑龙江省数字农业发展规划（2023-2027 年）》；</w:t>
      </w:r>
    </w:p>
    <w:p w14:paraId="5AB89412">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《中国教育现代化 2035》；</w:t>
      </w:r>
    </w:p>
    <w:p w14:paraId="559F0573">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《数字农业农村发展规划（2025-2030 年）》。</w:t>
      </w:r>
    </w:p>
    <w:p w14:paraId="1A86AE57">
      <w:pPr>
        <w:pStyle w:val="12"/>
        <w:keepNext w:val="0"/>
        <w:keepLines w:val="0"/>
        <w:pageBreakBefore w:val="0"/>
        <w:widowControl/>
        <w:numPr>
          <w:ilvl w:val="0"/>
          <w:numId w:val="3"/>
        </w:numPr>
        <w:kinsoku/>
        <w:wordWrap/>
        <w:overflowPunct/>
        <w:topLinePunct w:val="0"/>
        <w:autoSpaceDE/>
        <w:autoSpaceDN/>
        <w:bidi w:val="0"/>
        <w:adjustRightInd/>
        <w:snapToGrid/>
        <w:spacing w:line="400" w:lineRule="exact"/>
        <w:ind w:left="0" w:leftChars="0" w:firstLine="562" w:firstLineChars="200"/>
        <w:textAlignment w:val="auto"/>
        <w:rPr>
          <w:rFonts w:hint="eastAsia" w:ascii="方正仿宋_GBK" w:hAnsi="方正仿宋_GBK" w:eastAsia="方正仿宋_GBK" w:cs="方正仿宋_GBK"/>
          <w:b/>
          <w:bCs/>
        </w:rPr>
      </w:pPr>
      <w:bookmarkStart w:id="8" w:name="_Toc145322382"/>
      <w:bookmarkStart w:id="9" w:name="_Toc166161320"/>
      <w:r>
        <w:rPr>
          <w:rFonts w:hint="eastAsia" w:ascii="方正仿宋_GBK" w:hAnsi="方正仿宋_GBK" w:eastAsia="方正仿宋_GBK" w:cs="方正仿宋_GBK"/>
          <w:b/>
          <w:bCs/>
        </w:rPr>
        <w:t xml:space="preserve">标准与规范</w:t>
      </w:r>
      <w:bookmarkEnd w:id="8"/>
      <w:bookmarkEnd w:id="9"/>
    </w:p>
    <w:p w14:paraId="18BACB2D">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《职业教育专业目录（2024 年）》相关专业技能培养要求；</w:t>
      </w:r>
    </w:p>
    <w:p w14:paraId="7117F2E1">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黑龙江省第三轮"双高计划"专业群建设考核指标；</w:t>
      </w:r>
    </w:p>
    <w:p w14:paraId="69D11786">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中国职教学会智慧农业类实训平台项目申报相关要求；</w:t>
      </w:r>
    </w:p>
    <w:p w14:paraId="792C234D">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《人形机器人创新发展指导意见》（工信部等〔2023〕193 号）；</w:t>
      </w:r>
    </w:p>
    <w:p w14:paraId="65CD5191">
      <w:pPr>
        <w:pStyle w:val="12"/>
        <w:keepNext w:val="0"/>
        <w:keepLines w:val="0"/>
        <w:pageBreakBefore w:val="0"/>
        <w:widowControl/>
        <w:kinsoku/>
        <w:wordWrap/>
        <w:overflowPunct/>
        <w:autoSpaceDE/>
        <w:autoSpaceDN/>
        <w:bidi w:val="0"/>
        <w:adjustRightInd/>
        <w:snapToGrid/>
        <w:spacing w:line="400" w:lineRule="exact"/>
        <w:textAlignment w:val="auto"/>
      </w:pPr>
      <w:r>
        <w:rPr>
          <w:rFonts w:hint="eastAsia" w:ascii="方正仿宋_GBK" w:hAnsi="方正仿宋_GBK" w:eastAsia="方正仿宋_GBK" w:cs="方正仿宋_GBK"/>
        </w:rPr>
        <w:t xml:space="preserve">黑龙江农业职业技术学院智慧农业专业群人才培养方案。</w:t>
      </w:r>
    </w:p>
    <w:p w14:paraId="58567B47">
      <w:pPr>
        <w:pStyle w:val="2"/>
        <w:keepNext w:val="0"/>
        <w:keepLines w:val="0"/>
        <w:pageBreakBefore w:val="0"/>
        <w:numPr>
          <w:ilvl w:val="0"/>
          <w:numId w:val="1"/>
        </w:numPr>
        <w:kinsoku/>
        <w:wordWrap/>
        <w:overflowPunct/>
        <w:topLinePunct w:val="0"/>
        <w:autoSpaceDE/>
        <w:autoSpaceDN/>
        <w:bidi w:val="0"/>
        <w:adjustRightInd/>
        <w:snapToGrid/>
        <w:spacing w:line="400" w:lineRule="exact"/>
        <w:ind w:left="0" w:leftChars="0" w:firstLine="640" w:firstLineChars="0"/>
        <w:textAlignment w:val="auto"/>
        <w:rPr>
          <w:b w:val="0"/>
        </w:rPr>
      </w:pPr>
      <w:r>
        <w:t>建设目标</w:t>
      </w:r>
      <w:bookmarkEnd w:id="7"/>
    </w:p>
    <w:p w14:paraId="62CC9485">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在人工智能与机器人技术飞速发展和普及的今天，智慧农业数字化的程度越来越高。对具身智能设备操作、机器人数据采集及算法开发人才需求越来越大，同时对农业智能装备技术人才要求标准较高，要求同时具备具身智能的理论知识、扎实熟练的动手能力。黑龙江农业职业技术学院智慧农业具身数采中心的建设，对于培养本校学生的具身智能数据采集技能、提高智能装备应用意识及满足区域寒地农业智能化发展需求具有重要意义。</w:t>
      </w:r>
    </w:p>
    <w:p w14:paraId="6D6D7105">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本次项目总体建设目标如下：</w:t>
      </w:r>
    </w:p>
    <w:p w14:paraId="215229B9">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打造理实一体化智慧农业具身数采中心，全面提升黑龙江农业职业技术学院智慧农业专业群人才培养方式；培养理论知识扎实、实践能力强、符合寒地农业智能化发展需要的具身智能技术技能人才；建成"智慧农业具身数采中心（一期）"；拓宽学生就业渠道，打响黑龙江农业职业技术学院教育品牌；</w:t>
      </w:r>
    </w:p>
    <w:p w14:paraId="7042E1EF">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以培养学生农业人形机器人操作与多模态数据采集实践能力为核心，构建涵盖人形机器人遥操作、VR 遥操作、多模态数据采集、智能算法二次开发的实训教学设备体系。通过复刻真实的寒地水稻全产业链作业场景，让学生在实践中深入理解理论知识，熟练掌握农业智能机器人操作与多模态数据采集技能，提升解决实际问题的能力；</w:t>
      </w:r>
    </w:p>
    <w:p w14:paraId="47A2E9D3">
      <w:pPr>
        <w:pStyle w:val="2"/>
        <w:keepNext w:val="0"/>
        <w:keepLines w:val="0"/>
        <w:pageBreakBefore w:val="0"/>
        <w:numPr>
          <w:ilvl w:val="0"/>
          <w:numId w:val="1"/>
        </w:numPr>
        <w:kinsoku/>
        <w:wordWrap/>
        <w:overflowPunct/>
        <w:topLinePunct w:val="0"/>
        <w:autoSpaceDE/>
        <w:autoSpaceDN/>
        <w:bidi w:val="0"/>
        <w:adjustRightInd/>
        <w:snapToGrid/>
        <w:spacing w:line="400" w:lineRule="exact"/>
        <w:ind w:left="0" w:leftChars="0" w:firstLine="640" w:firstLineChars="0"/>
        <w:textAlignment w:val="auto"/>
        <w:rPr>
          <w:b w:val="0"/>
        </w:rPr>
      </w:pPr>
      <w:bookmarkStart w:id="10" w:name="_Toc349625385"/>
      <w:r>
        <w:t xml:space="preserve">数采中心用途规划</w:t>
      </w:r>
      <w:bookmarkEnd w:id="10"/>
    </w:p>
    <w:p w14:paraId="591FD3B3">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从建设数采中心的根本目的来看，智慧农业具身数采中心最重要的组成不只是硬件设备，中心是为培养专业具身智能技术技能人才服务的，如何真正提高学生的实战本领是数采中心建设的重要使命。</w:t>
      </w:r>
    </w:p>
    <w:p w14:paraId="391E8820">
      <w:pPr>
        <w:pStyle w:val="12"/>
        <w:keepNext w:val="0"/>
        <w:keepLines w:val="0"/>
        <w:pageBreakBefore w:val="0"/>
        <w:widowControl/>
        <w:kinsoku/>
        <w:wordWrap/>
        <w:overflowPunct/>
        <w:autoSpaceDE/>
        <w:autoSpaceDN/>
        <w:bidi w:val="0"/>
        <w:adjustRightInd/>
        <w:snapToGrid/>
        <w:spacing w:line="400" w:lineRule="exac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如何能把这些智能装备充分利用起来与其配套的实训教学课件和实训指导手册才是具身智能数据采集实训项目成败的关键。在完成支撑实训教学的基本功能的同时，还可以利用数采中心对内对外开展各类认证培训、校内师资培训、企业定制培训、院校联合技能竞赛，以及组织开展各类教学科研活动等，以最大化发挥数采中心作用和价值。数采中心用途基本规划如下图所示：</w:t>
      </w:r>
    </w:p>
    <w:p w14:paraId="1F827B05">
      <w:pPr>
        <w:keepNext w:val="0"/>
        <w:keepLines w:val="0"/>
        <w:pageBreakBefore w:val="0"/>
        <w:widowControl w:val="0"/>
        <w:kinsoku/>
        <w:wordWrap/>
        <w:overflowPunct/>
        <w:topLinePunct w:val="0"/>
        <w:autoSpaceDE/>
        <w:autoSpaceDN/>
        <w:bidi w:val="0"/>
        <w:adjustRightInd/>
        <w:snapToGrid/>
        <w:spacing w:after="2865" w:afterLines="901" w:afterAutospacing="0" w:line="400" w:lineRule="exact"/>
        <w:jc w:val="center"/>
        <w:textAlignment w:val="auto"/>
        <w:rPr>
          <w:rFonts w:hint="eastAsia" w:ascii="宋体" w:hAnsi="宋体" w:eastAsia="宋体" w:cs="宋体"/>
        </w:rPr>
      </w:pPr>
      <w:r>
        <w:rPr>
          <w:rFonts w:hint="eastAsia" w:ascii="宋体" w:hAnsi="宋体" w:eastAsia="宋体" w:cs="宋体"/>
        </w:rPr>
        <w:pict>
          <v:shape id="_x0000_s1029" o:spid="_x0000_s1029" o:spt="75" type="#_x0000_t75" style="position:absolute;left:0pt;margin-left:27pt;margin-top:24.85pt;height:290.7pt;width:393.25pt;mso-wrap-distance-left:9pt;mso-wrap-distance-right:9pt;z-index:-251657216;mso-width-relative:page;mso-height-relative:page;" filled="f" o:preferrelative="t" stroked="f" coordsize="21600,21600" wrapcoords="21592 -2 0 0 0 21600 21592 21602 8 21602 21600 21600 21600 0 8 -2 21592 -2">
            <v:path/>
            <v:fill on="f" focussize="0,0"/>
            <v:stroke on="f"/>
            <v:imagedata r:id="rId5" o:title=""/>
            <o:lock v:ext="edit" aspectratio="t"/>
            <w10:wrap type="tight"/>
          </v:shape>
        </w:pict>
      </w:r>
    </w:p>
    <w:p w14:paraId="5DF0FBA2">
      <w:pPr>
        <w:pStyle w:val="18"/>
        <w:keepNext w:val="0"/>
        <w:keepLines w:val="0"/>
        <w:pageBreakBefore w:val="0"/>
        <w:kinsoku/>
        <w:wordWrap/>
        <w:overflowPunct/>
        <w:autoSpaceDE/>
        <w:autoSpaceDN/>
        <w:bidi w:val="0"/>
        <w:adjustRightInd/>
        <w:snapToGrid/>
        <w:spacing w:before="0" w:beforeAutospacing="0" w:line="400" w:lineRule="exact"/>
        <w:textAlignment w:val="auto"/>
        <w:rPr>
          <w:rFonts w:hint="eastAsia" w:ascii="宋体" w:hAnsi="宋体" w:cs="宋体"/>
          <w:sz w:val="28"/>
          <w:szCs w:val="28"/>
          <w:lang w:val="en-US" w:eastAsia="zh-CN"/>
        </w:rPr>
      </w:pPr>
    </w:p>
    <w:p w14:paraId="2CFBC00B">
      <w:pPr>
        <w:pStyle w:val="18"/>
        <w:keepNext w:val="0"/>
        <w:keepLines w:val="0"/>
        <w:pageBreakBefore w:val="0"/>
        <w:kinsoku/>
        <w:wordWrap/>
        <w:overflowPunct/>
        <w:autoSpaceDE/>
        <w:autoSpaceDN/>
        <w:bidi w:val="0"/>
        <w:adjustRightInd/>
        <w:snapToGrid/>
        <w:spacing w:after="0" w:afterAutospacing="0" w:line="400" w:lineRule="exact"/>
        <w:textAlignment w:val="auto"/>
        <w:rPr>
          <w:rFonts w:hint="eastAsia"/>
          <w:color w:val="auto"/>
        </w:rPr>
      </w:pPr>
    </w:p>
    <w:p w14:paraId="3C0B817F">
      <w:pPr>
        <w:pStyle w:val="2"/>
        <w:keepNext w:val="0"/>
        <w:keepLines w:val="0"/>
        <w:pageBreakBefore w:val="0"/>
        <w:numPr>
          <w:ilvl w:val="0"/>
          <w:numId w:val="1"/>
        </w:numPr>
        <w:kinsoku/>
        <w:wordWrap/>
        <w:overflowPunct/>
        <w:topLinePunct w:val="0"/>
        <w:autoSpaceDE/>
        <w:autoSpaceDN/>
        <w:bidi w:val="0"/>
        <w:adjustRightInd/>
        <w:snapToGrid/>
        <w:spacing w:line="400" w:lineRule="exact"/>
        <w:ind w:left="0" w:leftChars="0" w:firstLine="640" w:firstLineChars="0"/>
        <w:textAlignment w:val="auto"/>
        <w:rPr>
          <w:b w:val="0"/>
        </w:rPr>
      </w:pPr>
      <w:r>
        <w:t xml:space="preserve">智慧农业具身数采中心（一期）建设需求公示</w:t>
      </w:r>
    </w:p>
    <w:p w14:paraId="49F5F91F">
      <w:pPr>
        <w:keepNext w:val="0"/>
        <w:keepLines w:val="0"/>
        <w:pageBreakBefore w:val="0"/>
        <w:kinsoku/>
        <w:wordWrap/>
        <w:overflowPunct/>
        <w:autoSpaceDE/>
        <w:autoSpaceDN/>
        <w:bidi w:val="0"/>
        <w:adjustRightInd/>
        <w:snapToGrid/>
        <w:spacing w:beforeAutospacing="0" w:line="400" w:lineRule="exact"/>
        <w:textAlignment w:val="auto"/>
      </w:pP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9"/>
        <w:gridCol w:w="5994"/>
        <w:gridCol w:w="696"/>
        <w:gridCol w:w="576"/>
        <w:gridCol w:w="580"/>
      </w:tblGrid>
      <w:tr w14:paraId="27BA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76A66147">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项目</w:t>
            </w:r>
          </w:p>
        </w:tc>
        <w:tc>
          <w:tcPr>
            <w:tcW w:w="3310" w:type="pct"/>
            <w:noWrap w:val="0"/>
            <w:vAlign w:val="top"/>
          </w:tcPr>
          <w:p w14:paraId="02A1AB91">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建设需求</w:t>
            </w:r>
          </w:p>
        </w:tc>
        <w:tc>
          <w:tcPr>
            <w:tcW w:w="384" w:type="pct"/>
            <w:noWrap w:val="0"/>
            <w:vAlign w:val="top"/>
          </w:tcPr>
          <w:p w14:paraId="1EA7C56A">
            <w:pPr>
              <w:keepNext w:val="0"/>
              <w:keepLines w:val="0"/>
              <w:pageBreakBefore w:val="0"/>
              <w:kinsoku/>
              <w:wordWrap/>
              <w:overflowPunct/>
              <w:autoSpaceDE/>
              <w:autoSpaceDN/>
              <w:bidi w:val="0"/>
              <w:adjustRightInd/>
              <w:snapToGrid/>
              <w:spacing w:line="40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val="0"/>
                <w:bCs w:val="0"/>
                <w:sz w:val="24"/>
                <w:szCs w:val="24"/>
                <w:vertAlign w:val="baseline"/>
                <w:lang w:val="en-US" w:eastAsia="zh-CN"/>
              </w:rPr>
              <w:t>数量</w:t>
            </w:r>
          </w:p>
        </w:tc>
        <w:tc>
          <w:tcPr>
            <w:tcW w:w="318" w:type="pct"/>
            <w:noWrap w:val="0"/>
            <w:vAlign w:val="top"/>
          </w:tcPr>
          <w:p w14:paraId="4531E41F">
            <w:pPr>
              <w:keepNext w:val="0"/>
              <w:keepLines w:val="0"/>
              <w:pageBreakBefore w:val="0"/>
              <w:kinsoku/>
              <w:wordWrap/>
              <w:overflowPunct/>
              <w:autoSpaceDE/>
              <w:autoSpaceDN/>
              <w:bidi w:val="0"/>
              <w:adjustRightInd/>
              <w:snapToGrid/>
              <w:spacing w:line="400" w:lineRule="exact"/>
              <w:jc w:val="center"/>
              <w:textAlignment w:val="auto"/>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单价</w:t>
            </w:r>
          </w:p>
        </w:tc>
        <w:tc>
          <w:tcPr>
            <w:tcW w:w="318" w:type="pct"/>
            <w:noWrap w:val="0"/>
            <w:vAlign w:val="top"/>
          </w:tcPr>
          <w:p w14:paraId="76D216D0">
            <w:pPr>
              <w:keepNext w:val="0"/>
              <w:keepLines w:val="0"/>
              <w:pageBreakBefore w:val="0"/>
              <w:kinsoku/>
              <w:wordWrap/>
              <w:overflowPunct/>
              <w:autoSpaceDE/>
              <w:autoSpaceDN/>
              <w:bidi w:val="0"/>
              <w:adjustRightInd/>
              <w:snapToGrid/>
              <w:spacing w:line="400" w:lineRule="exact"/>
              <w:jc w:val="center"/>
              <w:textAlignment w:val="auto"/>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总价</w:t>
            </w:r>
          </w:p>
        </w:tc>
      </w:tr>
      <w:tr w14:paraId="12DA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5CE819FA">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人形机器人</w:t>
            </w:r>
          </w:p>
        </w:tc>
        <w:tc>
          <w:tcPr>
            <w:tcW w:w="3310" w:type="pct"/>
            <w:noWrap w:val="0"/>
            <w:vAlign w:val="top"/>
          </w:tcPr>
          <w:p w14:paraId="291090EA">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产品需是一款专为推动二次开发者、高校、工业界在具身智能、大规模数据采集及大模型端到端控制领域实现产业化落地的人形机器人，可致力于构建"工业场景应用"+"科研教育开放"的双引擎核心载体。要求产品需具有自主换电及连续作业能力，要通过全量开放的底层 SDK 与高精度数字孪生模型，提供极致的算法验证自由度。配合双目立体视觉及全向多模态感知系统，可实现高速拟人行走与精细物理交互。产品需配套阵列式触觉灵巧手在内的末端执行器，深度适配覆盖运控、感知及大模型交互等领域的案例实践，助力使用者掌握具身智能核心技术。要求具备以下特点：(1) 科研探索：开放底层接口与 SDK 联合验证，探索前沿算法支持工业场景的二次开发应用；(2) 真实数据：模拟搬运、分拣、上下料等工作工序，生成场景多维数据；(3) 具备自主换电功能，支持自主换电，支持热插拔换电，满足长时间不间断作业；(4) 感知"类人眼"双目立体视觉感知方案，通过双 RGB 图像实时生成高精度、左目对齐的稠密深度图；(5) 满足多场景交互实验需求，标配≥3 类末端执行器，包括但不限于 1 对≥11 自由度的灵巧手、1 对夹板手、1 对二指夹爪，同时配套≥1 对腕部相机。</w:t>
            </w:r>
          </w:p>
        </w:tc>
        <w:tc>
          <w:tcPr>
            <w:tcW w:w="384" w:type="pct"/>
            <w:noWrap w:val="0"/>
            <w:vAlign w:val="top"/>
          </w:tcPr>
          <w:p w14:paraId="6DAB429B">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1</w:t>
            </w:r>
          </w:p>
        </w:tc>
        <w:tc>
          <w:tcPr>
            <w:tcW w:w="318" w:type="pct"/>
            <w:noWrap w:val="0"/>
            <w:vAlign w:val="top"/>
          </w:tcPr>
          <w:p w14:paraId="3553E863">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c>
          <w:tcPr>
            <w:tcW w:w="318" w:type="pct"/>
            <w:noWrap w:val="0"/>
            <w:vAlign w:val="top"/>
          </w:tcPr>
          <w:p w14:paraId="2020A425">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r>
      <w:tr w14:paraId="0E67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2AB93A4F">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rPr>
            </w:pPr>
            <w:r>
              <w:rPr>
                <w:rFonts w:hint="eastAsia" w:ascii="方正仿宋_GBK" w:hAnsi="方正仿宋_GBK" w:eastAsia="方正仿宋_GBK" w:cs="方正仿宋_GBK"/>
                <w:lang w:val="en-US" w:eastAsia="zh-CN"/>
              </w:rPr>
              <w:t xml:space="preserve">手动换电柜</w:t>
            </w:r>
          </w:p>
        </w:tc>
        <w:tc>
          <w:tcPr>
            <w:tcW w:w="3310" w:type="pct"/>
            <w:noWrap w:val="0"/>
            <w:vAlign w:val="top"/>
          </w:tcPr>
          <w:p w14:paraId="000474CE">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 xml:space="preserve">为人形机器人本体提供快速换电服务，可实现电池快捷更换，保障数据采集过程中机器人的持续作业，降低采集中断时长。</w:t>
            </w:r>
          </w:p>
        </w:tc>
        <w:tc>
          <w:tcPr>
            <w:tcW w:w="384" w:type="pct"/>
            <w:noWrap w:val="0"/>
            <w:vAlign w:val="top"/>
          </w:tcPr>
          <w:p w14:paraId="7A6C6557">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1</w:t>
            </w:r>
          </w:p>
        </w:tc>
        <w:tc>
          <w:tcPr>
            <w:tcW w:w="318" w:type="pct"/>
            <w:noWrap w:val="0"/>
            <w:vAlign w:val="top"/>
          </w:tcPr>
          <w:p w14:paraId="436E852D">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c>
          <w:tcPr>
            <w:tcW w:w="318" w:type="pct"/>
            <w:noWrap w:val="0"/>
            <w:vAlign w:val="top"/>
          </w:tcPr>
          <w:p w14:paraId="0CA13FE8">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r>
      <w:tr w14:paraId="76CF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5A742E6B">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rPr>
            </w:pPr>
            <w:r>
              <w:rPr>
                <w:rFonts w:hint="eastAsia" w:ascii="方正仿宋_GBK" w:hAnsi="方正仿宋_GBK" w:eastAsia="方正仿宋_GBK" w:cs="方正仿宋_GBK"/>
                <w:lang w:val="en-US" w:eastAsia="zh-CN"/>
              </w:rPr>
              <w:t xml:space="preserve">虚拟现实设备及追踪器</w:t>
            </w:r>
          </w:p>
        </w:tc>
        <w:tc>
          <w:tcPr>
            <w:tcW w:w="3310" w:type="pct"/>
            <w:noWrap w:val="0"/>
            <w:vAlign w:val="top"/>
          </w:tcPr>
          <w:p w14:paraId="2192A0B1">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 xml:space="preserve">配套遥操作及采集场景使用，操作员头戴 VR 眼镜对手部动作进行运动数据提取，同时利用 IMU 数据提取头部运动数据转换为机器人作业高度、作业方向等数据，实现对人形机器人的全身实时遥操作；同时佩戴 VR 头显，获取人形机器人第一视角图像，实现闭环反馈，完成数据采集任务。（包含腰部跟踪器和腿部跟踪器）</w:t>
            </w:r>
          </w:p>
        </w:tc>
        <w:tc>
          <w:tcPr>
            <w:tcW w:w="384" w:type="pct"/>
            <w:noWrap w:val="0"/>
            <w:vAlign w:val="top"/>
          </w:tcPr>
          <w:p w14:paraId="73CA4D69">
            <w:pPr>
              <w:keepNext w:val="0"/>
              <w:keepLines w:val="0"/>
              <w:pageBreakBefore w:val="0"/>
              <w:numPr>
                <w:ilvl w:val="0"/>
                <w:numId w:val="0"/>
              </w:numPr>
              <w:kinsoku/>
              <w:wordWrap/>
              <w:overflowPunct/>
              <w:autoSpaceDE/>
              <w:autoSpaceDN/>
              <w:bidi w:val="0"/>
              <w:adjustRightInd/>
              <w:snapToGrid/>
              <w:spacing w:line="400" w:lineRule="exact"/>
              <w:textAlignment w:val="auto"/>
              <w:rPr>
                <w:rFonts w:hint="default"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1</w:t>
            </w:r>
          </w:p>
        </w:tc>
        <w:tc>
          <w:tcPr>
            <w:tcW w:w="318" w:type="pct"/>
            <w:noWrap w:val="0"/>
            <w:vAlign w:val="top"/>
          </w:tcPr>
          <w:p w14:paraId="58841D95">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c>
          <w:tcPr>
            <w:tcW w:w="318" w:type="pct"/>
            <w:noWrap w:val="0"/>
            <w:vAlign w:val="top"/>
          </w:tcPr>
          <w:p w14:paraId="6BBEFACA">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r>
      <w:tr w14:paraId="095B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2FBD4ACC">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rPr>
            </w:pPr>
            <w:r>
              <w:rPr>
                <w:rFonts w:hint="eastAsia" w:ascii="方正仿宋_GBK" w:hAnsi="方正仿宋_GBK" w:eastAsia="方正仿宋_GBK" w:cs="方正仿宋_GBK"/>
                <w:lang w:val="en-US" w:eastAsia="zh-CN"/>
              </w:rPr>
              <w:t xml:space="preserve">场景吊架系统</w:t>
            </w:r>
          </w:p>
        </w:tc>
        <w:tc>
          <w:tcPr>
            <w:tcW w:w="3310" w:type="pct"/>
            <w:noWrap w:val="0"/>
            <w:vAlign w:val="top"/>
          </w:tcPr>
          <w:p w14:paraId="78AEF997">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 xml:space="preserve">安装于数据采集场景上方，可为人形机器人提供安全防护、走线支撑、辅助定位等功能，避免机器人采集过程中倾倒损坏，保障数据采集作业安全开展。</w:t>
            </w:r>
          </w:p>
        </w:tc>
        <w:tc>
          <w:tcPr>
            <w:tcW w:w="384" w:type="pct"/>
            <w:noWrap w:val="0"/>
            <w:vAlign w:val="top"/>
          </w:tcPr>
          <w:p w14:paraId="73997372">
            <w:pPr>
              <w:pStyle w:val="30"/>
              <w:keepNext w:val="0"/>
              <w:keepLines w:val="0"/>
              <w:pageBreakBefore w:val="0"/>
              <w:kinsoku/>
              <w:wordWrap/>
              <w:overflowPunct/>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1</w:t>
            </w:r>
          </w:p>
        </w:tc>
        <w:tc>
          <w:tcPr>
            <w:tcW w:w="318" w:type="pct"/>
            <w:noWrap w:val="0"/>
            <w:vAlign w:val="top"/>
          </w:tcPr>
          <w:p w14:paraId="70F00C67">
            <w:pPr>
              <w:pStyle w:val="30"/>
              <w:keepNext w:val="0"/>
              <w:keepLines w:val="0"/>
              <w:pageBreakBefore w:val="0"/>
              <w:kinsoku/>
              <w:wordWrap/>
              <w:overflowPunct/>
              <w:autoSpaceDE/>
              <w:autoSpaceDN/>
              <w:bidi w:val="0"/>
              <w:adjustRightInd/>
              <w:snapToGrid/>
              <w:spacing w:line="400" w:lineRule="exact"/>
              <w:ind w:left="0" w:leftChars="0" w:firstLine="0" w:firstLineChars="0"/>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c>
          <w:tcPr>
            <w:tcW w:w="318" w:type="pct"/>
            <w:noWrap w:val="0"/>
            <w:vAlign w:val="top"/>
          </w:tcPr>
          <w:p w14:paraId="1EE88FA9">
            <w:pPr>
              <w:pStyle w:val="30"/>
              <w:keepNext w:val="0"/>
              <w:keepLines w:val="0"/>
              <w:pageBreakBefore w:val="0"/>
              <w:kinsoku/>
              <w:wordWrap/>
              <w:overflowPunct/>
              <w:autoSpaceDE/>
              <w:autoSpaceDN/>
              <w:bidi w:val="0"/>
              <w:adjustRightInd/>
              <w:snapToGrid/>
              <w:spacing w:line="400" w:lineRule="exact"/>
              <w:ind w:left="0" w:leftChars="0" w:firstLine="0" w:firstLineChars="0"/>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r>
      <w:tr w14:paraId="5990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6AD7FBE5">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rPr>
            </w:pPr>
            <w:r>
              <w:rPr>
                <w:rFonts w:hint="eastAsia" w:ascii="方正仿宋_GBK" w:hAnsi="方正仿宋_GBK" w:eastAsia="方正仿宋_GBK" w:cs="方正仿宋_GBK"/>
                <w:lang w:val="en-US" w:eastAsia="zh-CN"/>
              </w:rPr>
              <w:t xml:space="preserve">标准数采场景搭建</w:t>
            </w:r>
          </w:p>
        </w:tc>
        <w:tc>
          <w:tcPr>
            <w:tcW w:w="3310" w:type="pct"/>
            <w:noWrap w:val="0"/>
            <w:vAlign w:val="top"/>
          </w:tcPr>
          <w:p w14:paraId="19C5876E">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xml:space="preserve">果蔬采摘、水稻秧盘分拣场景搭建，面向大田果蔬采收和大棚稻种搬运等领域，基于仿真农田操作台搭建真实果蔬采摘、稻种分拣场景，用于人形机器人果蔬采收、水稻分拣工序中的数据采集，支持机器人从分拣台抓取果实、秧盘等并置入采收筐的典型任务，实现田间采收分拣作业全流程数据采集。</w:t>
            </w:r>
          </w:p>
        </w:tc>
        <w:tc>
          <w:tcPr>
            <w:tcW w:w="384" w:type="pct"/>
            <w:noWrap w:val="0"/>
            <w:vAlign w:val="top"/>
          </w:tcPr>
          <w:p w14:paraId="5A4D098E">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1</w:t>
            </w:r>
          </w:p>
        </w:tc>
        <w:tc>
          <w:tcPr>
            <w:tcW w:w="318" w:type="pct"/>
            <w:noWrap w:val="0"/>
            <w:vAlign w:val="top"/>
          </w:tcPr>
          <w:p w14:paraId="22A88BE7">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c>
          <w:tcPr>
            <w:tcW w:w="318" w:type="pct"/>
            <w:noWrap w:val="0"/>
            <w:vAlign w:val="top"/>
          </w:tcPr>
          <w:p w14:paraId="7D119C07">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r>
      <w:tr w14:paraId="744F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51EC1600">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 xml:space="preserve">数据采集训练机</w:t>
            </w:r>
          </w:p>
        </w:tc>
        <w:tc>
          <w:tcPr>
            <w:tcW w:w="3310" w:type="pct"/>
            <w:noWrap w:val="0"/>
            <w:vAlign w:val="top"/>
          </w:tcPr>
          <w:p w14:paraId="1BDAFA84">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 xml:space="preserve">部署数据采集配套软件，用于接收、存储人形机器人实时回传的多模态采集数据，同时支持采集参数配置、采集过程全流程监控操作；用于显示数据采集界面、机器人运行状态、实时采集数据波形/画面等信息，方便操作人员直观监控采集流程，调整采集相关参数。</w:t>
            </w:r>
          </w:p>
        </w:tc>
        <w:tc>
          <w:tcPr>
            <w:tcW w:w="384" w:type="pct"/>
            <w:noWrap w:val="0"/>
            <w:vAlign w:val="top"/>
          </w:tcPr>
          <w:p w14:paraId="23DD1819">
            <w:pPr>
              <w:keepNext w:val="0"/>
              <w:keepLines w:val="0"/>
              <w:pageBreakBefore w:val="0"/>
              <w:kinsoku/>
              <w:wordWrap/>
              <w:overflowPunct/>
              <w:autoSpaceDE/>
              <w:autoSpaceDN/>
              <w:bidi w:val="0"/>
              <w:adjustRightInd/>
              <w:snapToGrid/>
              <w:spacing w:line="400" w:lineRule="exact"/>
              <w:textAlignment w:val="auto"/>
              <w:rPr>
                <w:rFonts w:hint="default"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1</w:t>
            </w:r>
          </w:p>
        </w:tc>
        <w:tc>
          <w:tcPr>
            <w:tcW w:w="318" w:type="pct"/>
            <w:noWrap w:val="0"/>
            <w:vAlign w:val="top"/>
          </w:tcPr>
          <w:p w14:paraId="668FCBFE">
            <w:pPr>
              <w:keepNext w:val="0"/>
              <w:keepLines w:val="0"/>
              <w:pageBreakBefore w:val="0"/>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c>
          <w:tcPr>
            <w:tcW w:w="318" w:type="pct"/>
            <w:noWrap w:val="0"/>
            <w:vAlign w:val="top"/>
          </w:tcPr>
          <w:p w14:paraId="75BDD3F8">
            <w:pPr>
              <w:keepNext w:val="0"/>
              <w:keepLines w:val="0"/>
              <w:pageBreakBefore w:val="0"/>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r>
      <w:tr w14:paraId="48BD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pct"/>
            <w:noWrap w:val="0"/>
            <w:vAlign w:val="center"/>
          </w:tcPr>
          <w:p w14:paraId="5A675C4C">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 xml:space="preserve">智能触控一体机</w:t>
            </w:r>
          </w:p>
        </w:tc>
        <w:tc>
          <w:tcPr>
            <w:tcW w:w="3310" w:type="pct"/>
            <w:noWrap w:val="0"/>
            <w:vAlign w:val="top"/>
          </w:tcPr>
          <w:p w14:paraId="6E8557BC">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 xml:space="preserve">一、主机：1. 整机采用一体设计，外部无任何可见内部功能模块连接线；2. 整机屏幕采用≥86 英寸液晶显示器，采用超高清 LED 液晶屏，显示分辨率≥3840×2160，可视角度≥178°；3. 屏幕采用≤3mm 钢化玻璃保护，表面硬度≥石墨硬度 9H 或莫氏硬度 7 级，透光率不低于 91%，雾度≤8%；4. 内存≥8GB，硬盘≥256GB；5. 含可移动支架。</w:t>
            </w:r>
          </w:p>
          <w:p>
            <w:pPr>
              <w:pStyle w:val="12"/>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 xml:space="preserve">二、输入音频麦克风：1. 麦克风主体长宽≤30mm，领夹采用硅胶材质，麦克风主体与磁吸领夹一体式设计；2. 麦克风内置 NFC 模块，无线麦克风开机后触碰接收主机对频区域即可完成对频；3. 采用 2.4GHz 自适应跳频技术，支持 48KHz/24bit 无损音质传输；4. 单台接收主机可实现两支无线麦克风同时使用；5. 麦克风含≤2 个按键，支持电源开关、静音及语音指令功能；6. 单次充满电可连续使用≥6 小时；7. 麦克风可通过内置红、绿、黄三色 LED 灯清晰指示对频、使用、静音、充电、低电量、断频等状态；8. 麦克风具有归还提醒功能；9. 音频延时：≤16ms；10. 拾音范围：≥50cm；11. 频响范围：70Hz-20kHz（±3dB）；12. 信噪比：≥81dB；13. 失真度：&lt;1%；14. 无线距离：室内&gt;20 米，户外&gt;30 米；15. 连续使用时间：≥6 小时；16. 充电时间：≤1.5-2 小时；17. 整机重量：≤12g。</w:t>
            </w:r>
          </w:p>
        </w:tc>
        <w:tc>
          <w:tcPr>
            <w:tcW w:w="384" w:type="pct"/>
            <w:noWrap w:val="0"/>
            <w:vAlign w:val="top"/>
          </w:tcPr>
          <w:p w14:paraId="0CFA81AA">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1</w:t>
            </w:r>
          </w:p>
        </w:tc>
        <w:tc>
          <w:tcPr>
            <w:tcW w:w="318" w:type="pct"/>
            <w:noWrap w:val="0"/>
            <w:vAlign w:val="top"/>
          </w:tcPr>
          <w:p w14:paraId="5C0A2AE3">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c>
          <w:tcPr>
            <w:tcW w:w="318" w:type="pct"/>
            <w:noWrap w:val="0"/>
            <w:vAlign w:val="top"/>
          </w:tcPr>
          <w:p w14:paraId="674F1501">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 xml:space="preserve"/>
            </w:r>
          </w:p>
        </w:tc>
      </w:tr>
      <w:tr w14:paraId="5B63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0"/>
            <w:vAlign w:val="center"/>
          </w:tcPr>
          <w:p w14:paraId="3D0258EA">
            <w:pPr>
              <w:keepNext w:val="0"/>
              <w:keepLines w:val="0"/>
              <w:pageBreakBefore w:val="0"/>
              <w:numPr>
                <w:ilvl w:val="0"/>
                <w:numId w:val="0"/>
              </w:numPr>
              <w:kinsoku/>
              <w:wordWrap/>
              <w:overflowPunct/>
              <w:autoSpaceDE/>
              <w:autoSpaceDN/>
              <w:bidi w:val="0"/>
              <w:adjustRightInd/>
              <w:snapToGrid/>
              <w:spacing w:line="400" w:lineRule="exact"/>
              <w:textAlignment w:val="auto"/>
              <w:rPr>
                <w:rFonts w:hint="eastAsia" w:ascii="Times New Roman" w:hAnsi="Times New Roman" w:eastAsia="宋体" w:cs="宋体"/>
                <w:sz w:val="24"/>
                <w:szCs w:val="24"/>
                <w:vertAlign w:val="baseline"/>
                <w:lang w:val="en-US" w:eastAsia="zh-CN"/>
              </w:rPr>
            </w:pPr>
            <w:r>
              <w:rPr>
                <w:rFonts w:hint="eastAsia" w:ascii="方正仿宋_GBK" w:hAnsi="方正仿宋_GBK" w:eastAsia="方正仿宋_GBK" w:cs="方正仿宋_GBK"/>
                <w:lang w:val="en-US" w:eastAsia="zh-CN"/>
              </w:rPr>
              <w:t>合计：</w:t>
            </w:r>
          </w:p>
        </w:tc>
      </w:tr>
    </w:tbl>
    <w:p w14:paraId="7B2F9D77">
      <w:pPr>
        <w:keepNext w:val="0"/>
        <w:keepLines w:val="0"/>
        <w:pageBreakBefore w:val="0"/>
        <w:kinsoku/>
        <w:wordWrap/>
        <w:overflowPunct/>
        <w:autoSpaceDE/>
        <w:autoSpaceDN/>
        <w:bidi w:val="0"/>
        <w:adjustRightInd/>
        <w:snapToGrid/>
        <w:spacing w:line="400" w:lineRule="exact"/>
        <w:textAlignment w:val="auto"/>
      </w:pPr>
    </w:p>
    <w:p w14:paraId="16D0D651">
      <w:pPr>
        <w:keepNext w:val="0"/>
        <w:keepLines w:val="0"/>
        <w:pageBreakBefore w:val="0"/>
        <w:kinsoku/>
        <w:wordWrap/>
        <w:overflowPunct/>
        <w:autoSpaceDE/>
        <w:autoSpaceDN/>
        <w:bidi w:val="0"/>
        <w:adjustRightInd/>
        <w:snapToGrid/>
        <w:spacing w:line="400" w:lineRule="exact"/>
        <w:textAlignment w:val="auto"/>
      </w:pPr>
    </w:p>
    <w:p w14:paraId="01C2E632">
      <w:pPr>
        <w:keepNext w:val="0"/>
        <w:keepLines w:val="0"/>
        <w:pageBreakBefore w:val="0"/>
        <w:kinsoku/>
        <w:wordWrap/>
        <w:overflowPunct/>
        <w:autoSpaceDE/>
        <w:autoSpaceDN/>
        <w:bidi w:val="0"/>
        <w:adjustRightInd/>
        <w:snapToGrid/>
        <w:spacing w:line="400" w:lineRule="exact"/>
        <w:textAlignment w:val="auto"/>
      </w:pPr>
    </w:p>
    <w:p w14:paraId="2EF53366">
      <w:pPr>
        <w:pStyle w:val="30"/>
        <w:keepNext w:val="0"/>
        <w:keepLines w:val="0"/>
        <w:pageBreakBefore w:val="0"/>
        <w:kinsoku/>
        <w:wordWrap/>
        <w:overflowPunct/>
        <w:autoSpaceDE/>
        <w:autoSpaceDN/>
        <w:bidi w:val="0"/>
        <w:adjustRightInd/>
        <w:snapToGrid/>
        <w:spacing w:line="400" w:lineRule="exact"/>
        <w:textAlignment w:val="auto"/>
        <w:rPr>
          <w:rFonts w:hint="eastAsia"/>
        </w:rPr>
      </w:pPr>
    </w:p>
    <w:sectPr>
      <w:footerReference r:id="rId3" w:type="default"/>
      <w:pgSz w:w="11906" w:h="16838"/>
      <w:pgMar w:top="2098" w:right="1474" w:bottom="1757" w:left="1588" w:header="851" w:footer="992" w:gutter="0"/>
      <w:pgNumType w:fmt="numberInDash"/>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A00002BF" w:usb1="38CF7CFA" w:usb2="00082016" w:usb3="00000000" w:csb0="00040001" w:csb1="00000000"/>
    <w:embedRegular r:id="rId1" w:fontKey="{49A33BB2-84AD-49FE-9EFE-9FE0FB62A9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665F4">
    <w:pPr>
      <w:pStyle w:val="15"/>
      <w:jc w:val="center"/>
      <w:rPr>
        <w:rFonts w:hint="eastAsia" w:ascii="宋体" w:hAnsi="宋体" w:eastAsia="宋体" w:cs="宋体"/>
        <w:sz w:val="28"/>
        <w:szCs w:val="28"/>
      </w:rPr>
    </w:pPr>
    <w:r>
      <w:rPr>
        <w:rFonts w:hint="eastAsia" w:ascii="宋体" w:hAnsi="宋体" w:eastAsia="宋体" w:cs="宋体"/>
        <w:sz w:val="28"/>
        <w:szCs w:val="28"/>
      </w:rPr>
      <w:pict>
        <v:shape id="_x0000_s2051" o:spid="_x0000_s205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D8FA114">
                <w:pPr>
                  <w:pStyle w:val="1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w:r>
  </w:p>
  <w:p w14:paraId="2A84EA28">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DDCF91"/>
    <w:multiLevelType w:val="singleLevel"/>
    <w:tmpl w:val="81DDCF91"/>
    <w:lvl w:ilvl="0" w:tentative="0">
      <w:start w:val="1"/>
      <w:numFmt w:val="decimal"/>
      <w:lvlText w:val="%1."/>
      <w:lvlJc w:val="left"/>
      <w:pPr>
        <w:ind w:left="425" w:hanging="425"/>
      </w:pPr>
      <w:rPr>
        <w:rFonts w:hint="default"/>
      </w:rPr>
    </w:lvl>
  </w:abstractNum>
  <w:abstractNum w:abstractNumId="1">
    <w:nsid w:val="3FA4800C"/>
    <w:multiLevelType w:val="singleLevel"/>
    <w:tmpl w:val="3FA4800C"/>
    <w:lvl w:ilvl="0" w:tentative="0">
      <w:start w:val="1"/>
      <w:numFmt w:val="chineseCounting"/>
      <w:suff w:val="nothing"/>
      <w:lvlText w:val="%1、"/>
      <w:lvlJc w:val="left"/>
      <w:pPr>
        <w:ind w:left="0" w:firstLine="640"/>
      </w:pPr>
      <w:rPr>
        <w:rFonts w:hint="eastAsia"/>
      </w:rPr>
    </w:lvl>
  </w:abstractNum>
  <w:abstractNum w:abstractNumId="2">
    <w:nsid w:val="7CD1E5AB"/>
    <w:multiLevelType w:val="singleLevel"/>
    <w:tmpl w:val="7CD1E5AB"/>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FkNjU3ZWU0N2U0MjA3NTE4ZGYxM2JlOWMzZjNmZmYifQ=="/>
  </w:docVars>
  <w:rsids>
    <w:rsidRoot w:val="20EA5237"/>
    <w:rsid w:val="00006FCA"/>
    <w:rsid w:val="00014315"/>
    <w:rsid w:val="0001474E"/>
    <w:rsid w:val="00017BFD"/>
    <w:rsid w:val="0004098A"/>
    <w:rsid w:val="000456E8"/>
    <w:rsid w:val="000638B1"/>
    <w:rsid w:val="000708D4"/>
    <w:rsid w:val="00077D41"/>
    <w:rsid w:val="00086126"/>
    <w:rsid w:val="000B67D6"/>
    <w:rsid w:val="000D46A4"/>
    <w:rsid w:val="000D6C9F"/>
    <w:rsid w:val="000E5471"/>
    <w:rsid w:val="00106516"/>
    <w:rsid w:val="00106E08"/>
    <w:rsid w:val="00117BF0"/>
    <w:rsid w:val="00122076"/>
    <w:rsid w:val="00124402"/>
    <w:rsid w:val="00124AD6"/>
    <w:rsid w:val="001252F9"/>
    <w:rsid w:val="001309E9"/>
    <w:rsid w:val="00136202"/>
    <w:rsid w:val="0017569D"/>
    <w:rsid w:val="00181913"/>
    <w:rsid w:val="00184E53"/>
    <w:rsid w:val="001A20B5"/>
    <w:rsid w:val="001B2C84"/>
    <w:rsid w:val="001C5F2B"/>
    <w:rsid w:val="001C734B"/>
    <w:rsid w:val="001D5905"/>
    <w:rsid w:val="00221B3A"/>
    <w:rsid w:val="00223BC3"/>
    <w:rsid w:val="00227F1F"/>
    <w:rsid w:val="002356D8"/>
    <w:rsid w:val="002448A9"/>
    <w:rsid w:val="0026135A"/>
    <w:rsid w:val="00266BE6"/>
    <w:rsid w:val="0029499B"/>
    <w:rsid w:val="002972C9"/>
    <w:rsid w:val="002C5929"/>
    <w:rsid w:val="002F5F8B"/>
    <w:rsid w:val="002F63E5"/>
    <w:rsid w:val="002F6F4B"/>
    <w:rsid w:val="0030535F"/>
    <w:rsid w:val="00331F50"/>
    <w:rsid w:val="00347C64"/>
    <w:rsid w:val="00370EE1"/>
    <w:rsid w:val="00386685"/>
    <w:rsid w:val="00395147"/>
    <w:rsid w:val="003A0DC9"/>
    <w:rsid w:val="003A4A74"/>
    <w:rsid w:val="003C32DD"/>
    <w:rsid w:val="003C6CB9"/>
    <w:rsid w:val="003E4EC5"/>
    <w:rsid w:val="003F402C"/>
    <w:rsid w:val="00411E0E"/>
    <w:rsid w:val="00417EAA"/>
    <w:rsid w:val="00421A11"/>
    <w:rsid w:val="004232FB"/>
    <w:rsid w:val="00437F46"/>
    <w:rsid w:val="00446171"/>
    <w:rsid w:val="00450F11"/>
    <w:rsid w:val="00451728"/>
    <w:rsid w:val="0045211B"/>
    <w:rsid w:val="00461A4A"/>
    <w:rsid w:val="00463269"/>
    <w:rsid w:val="00466439"/>
    <w:rsid w:val="004723BC"/>
    <w:rsid w:val="004746D3"/>
    <w:rsid w:val="004A6C5F"/>
    <w:rsid w:val="004B7FF9"/>
    <w:rsid w:val="004D0216"/>
    <w:rsid w:val="004D23C8"/>
    <w:rsid w:val="004E206B"/>
    <w:rsid w:val="004E42C3"/>
    <w:rsid w:val="004E4AAA"/>
    <w:rsid w:val="0052752D"/>
    <w:rsid w:val="00542A0E"/>
    <w:rsid w:val="00551F74"/>
    <w:rsid w:val="00596904"/>
    <w:rsid w:val="005D69A0"/>
    <w:rsid w:val="0061483D"/>
    <w:rsid w:val="006368C0"/>
    <w:rsid w:val="00637EAC"/>
    <w:rsid w:val="00643649"/>
    <w:rsid w:val="006508AA"/>
    <w:rsid w:val="00664232"/>
    <w:rsid w:val="006864E0"/>
    <w:rsid w:val="0068737A"/>
    <w:rsid w:val="00695705"/>
    <w:rsid w:val="006A0A04"/>
    <w:rsid w:val="006A7922"/>
    <w:rsid w:val="006C5A56"/>
    <w:rsid w:val="006D3BA7"/>
    <w:rsid w:val="006D57DF"/>
    <w:rsid w:val="006E12DC"/>
    <w:rsid w:val="006E1825"/>
    <w:rsid w:val="007107D8"/>
    <w:rsid w:val="00712A0D"/>
    <w:rsid w:val="007278B2"/>
    <w:rsid w:val="00770136"/>
    <w:rsid w:val="00774829"/>
    <w:rsid w:val="00780A71"/>
    <w:rsid w:val="007834E5"/>
    <w:rsid w:val="00785718"/>
    <w:rsid w:val="007A172D"/>
    <w:rsid w:val="007B2E33"/>
    <w:rsid w:val="007B5D94"/>
    <w:rsid w:val="007B7CFB"/>
    <w:rsid w:val="007B7D39"/>
    <w:rsid w:val="007D5A73"/>
    <w:rsid w:val="007E2000"/>
    <w:rsid w:val="007F3E12"/>
    <w:rsid w:val="0080248B"/>
    <w:rsid w:val="008119A2"/>
    <w:rsid w:val="00815542"/>
    <w:rsid w:val="00832B2F"/>
    <w:rsid w:val="00843D6E"/>
    <w:rsid w:val="00867EA0"/>
    <w:rsid w:val="008B2B30"/>
    <w:rsid w:val="008C1481"/>
    <w:rsid w:val="008C320F"/>
    <w:rsid w:val="008C41AD"/>
    <w:rsid w:val="00910E3E"/>
    <w:rsid w:val="009211E8"/>
    <w:rsid w:val="00921231"/>
    <w:rsid w:val="009226B1"/>
    <w:rsid w:val="009321B4"/>
    <w:rsid w:val="0094475A"/>
    <w:rsid w:val="00957A57"/>
    <w:rsid w:val="009720E3"/>
    <w:rsid w:val="00973A24"/>
    <w:rsid w:val="0097621D"/>
    <w:rsid w:val="00977181"/>
    <w:rsid w:val="00981F5F"/>
    <w:rsid w:val="009917E7"/>
    <w:rsid w:val="009A07AF"/>
    <w:rsid w:val="009B034E"/>
    <w:rsid w:val="009B4EF6"/>
    <w:rsid w:val="009D090C"/>
    <w:rsid w:val="009D4953"/>
    <w:rsid w:val="009D6D4A"/>
    <w:rsid w:val="009F4A5C"/>
    <w:rsid w:val="00A02BE2"/>
    <w:rsid w:val="00A03044"/>
    <w:rsid w:val="00A2391E"/>
    <w:rsid w:val="00A27674"/>
    <w:rsid w:val="00A36697"/>
    <w:rsid w:val="00A8284B"/>
    <w:rsid w:val="00A82DE9"/>
    <w:rsid w:val="00A84F88"/>
    <w:rsid w:val="00A901D6"/>
    <w:rsid w:val="00AA3DB1"/>
    <w:rsid w:val="00AD27CE"/>
    <w:rsid w:val="00AD4D38"/>
    <w:rsid w:val="00AE1E43"/>
    <w:rsid w:val="00AF7275"/>
    <w:rsid w:val="00B107D0"/>
    <w:rsid w:val="00B10BD7"/>
    <w:rsid w:val="00B236E2"/>
    <w:rsid w:val="00B340FE"/>
    <w:rsid w:val="00B37132"/>
    <w:rsid w:val="00B5659B"/>
    <w:rsid w:val="00B57EE9"/>
    <w:rsid w:val="00B60C19"/>
    <w:rsid w:val="00B62528"/>
    <w:rsid w:val="00B7063F"/>
    <w:rsid w:val="00B75AFD"/>
    <w:rsid w:val="00BA5B8B"/>
    <w:rsid w:val="00BC0D20"/>
    <w:rsid w:val="00BD5771"/>
    <w:rsid w:val="00BE25BE"/>
    <w:rsid w:val="00C04634"/>
    <w:rsid w:val="00C159D0"/>
    <w:rsid w:val="00C308A0"/>
    <w:rsid w:val="00C32112"/>
    <w:rsid w:val="00C51BB4"/>
    <w:rsid w:val="00C54314"/>
    <w:rsid w:val="00C57198"/>
    <w:rsid w:val="00C60255"/>
    <w:rsid w:val="00C65289"/>
    <w:rsid w:val="00C74F91"/>
    <w:rsid w:val="00C761B9"/>
    <w:rsid w:val="00C84781"/>
    <w:rsid w:val="00C91C32"/>
    <w:rsid w:val="00CB0C70"/>
    <w:rsid w:val="00CC5D51"/>
    <w:rsid w:val="00CE30CC"/>
    <w:rsid w:val="00CE549A"/>
    <w:rsid w:val="00D01D48"/>
    <w:rsid w:val="00D22F2F"/>
    <w:rsid w:val="00D333DF"/>
    <w:rsid w:val="00D410B9"/>
    <w:rsid w:val="00D45674"/>
    <w:rsid w:val="00D5102A"/>
    <w:rsid w:val="00D75F07"/>
    <w:rsid w:val="00D87212"/>
    <w:rsid w:val="00D92FEE"/>
    <w:rsid w:val="00DA3E6C"/>
    <w:rsid w:val="00DA4BAB"/>
    <w:rsid w:val="00DB5D53"/>
    <w:rsid w:val="00DC0FA8"/>
    <w:rsid w:val="00DD6D6F"/>
    <w:rsid w:val="00DE3EA8"/>
    <w:rsid w:val="00E04DEB"/>
    <w:rsid w:val="00E077DA"/>
    <w:rsid w:val="00E21059"/>
    <w:rsid w:val="00E37DDA"/>
    <w:rsid w:val="00E43E0C"/>
    <w:rsid w:val="00E63694"/>
    <w:rsid w:val="00E67A7E"/>
    <w:rsid w:val="00E73F47"/>
    <w:rsid w:val="00E818FE"/>
    <w:rsid w:val="00E877DC"/>
    <w:rsid w:val="00EA1D7F"/>
    <w:rsid w:val="00EB0971"/>
    <w:rsid w:val="00EB0EE3"/>
    <w:rsid w:val="00EC23BD"/>
    <w:rsid w:val="00ED2DD0"/>
    <w:rsid w:val="00ED31AB"/>
    <w:rsid w:val="00EE05B8"/>
    <w:rsid w:val="00EE09ED"/>
    <w:rsid w:val="00EE5163"/>
    <w:rsid w:val="00F02CC6"/>
    <w:rsid w:val="00F15486"/>
    <w:rsid w:val="00F32BD2"/>
    <w:rsid w:val="00F4645C"/>
    <w:rsid w:val="00F61CF8"/>
    <w:rsid w:val="00F705ED"/>
    <w:rsid w:val="00F83C21"/>
    <w:rsid w:val="00F84C71"/>
    <w:rsid w:val="00F85E52"/>
    <w:rsid w:val="00FB1DB3"/>
    <w:rsid w:val="00FB59B1"/>
    <w:rsid w:val="00FB5B56"/>
    <w:rsid w:val="00FD04EC"/>
    <w:rsid w:val="00FD7BAC"/>
    <w:rsid w:val="00FE7D91"/>
    <w:rsid w:val="00FF25E5"/>
    <w:rsid w:val="03237D85"/>
    <w:rsid w:val="04D63E97"/>
    <w:rsid w:val="04E756F1"/>
    <w:rsid w:val="055C368E"/>
    <w:rsid w:val="05D47115"/>
    <w:rsid w:val="073663F7"/>
    <w:rsid w:val="085A58C8"/>
    <w:rsid w:val="0926237D"/>
    <w:rsid w:val="093D2A40"/>
    <w:rsid w:val="096B4234"/>
    <w:rsid w:val="09ED6D59"/>
    <w:rsid w:val="0A1D552E"/>
    <w:rsid w:val="0AAC240E"/>
    <w:rsid w:val="0C0611A2"/>
    <w:rsid w:val="0C676F35"/>
    <w:rsid w:val="0CA710DF"/>
    <w:rsid w:val="0DA64277"/>
    <w:rsid w:val="0E0D2140"/>
    <w:rsid w:val="0E370B89"/>
    <w:rsid w:val="0E5E1C72"/>
    <w:rsid w:val="0E7D2EB4"/>
    <w:rsid w:val="0EE24651"/>
    <w:rsid w:val="0F654CA2"/>
    <w:rsid w:val="0F8E47D8"/>
    <w:rsid w:val="0FAC4C5F"/>
    <w:rsid w:val="0FBF4992"/>
    <w:rsid w:val="108E40BF"/>
    <w:rsid w:val="10B74A5B"/>
    <w:rsid w:val="118D78C7"/>
    <w:rsid w:val="120366CC"/>
    <w:rsid w:val="12A14823"/>
    <w:rsid w:val="13257202"/>
    <w:rsid w:val="139D5CF5"/>
    <w:rsid w:val="14423DE3"/>
    <w:rsid w:val="14A30D26"/>
    <w:rsid w:val="15082937"/>
    <w:rsid w:val="15806971"/>
    <w:rsid w:val="15AE04BE"/>
    <w:rsid w:val="15E47088"/>
    <w:rsid w:val="16DC051F"/>
    <w:rsid w:val="17B943BD"/>
    <w:rsid w:val="17C64EC1"/>
    <w:rsid w:val="17DC33B7"/>
    <w:rsid w:val="19B4308D"/>
    <w:rsid w:val="1B281F85"/>
    <w:rsid w:val="1B830F69"/>
    <w:rsid w:val="1BEA548C"/>
    <w:rsid w:val="1DFC5003"/>
    <w:rsid w:val="1E220F0E"/>
    <w:rsid w:val="1E306E03"/>
    <w:rsid w:val="1E4F579D"/>
    <w:rsid w:val="1EB12FAB"/>
    <w:rsid w:val="1EEC33A4"/>
    <w:rsid w:val="203647FC"/>
    <w:rsid w:val="20EA5237"/>
    <w:rsid w:val="21240AF9"/>
    <w:rsid w:val="21942725"/>
    <w:rsid w:val="21F07E91"/>
    <w:rsid w:val="225047A0"/>
    <w:rsid w:val="22DE65C2"/>
    <w:rsid w:val="249D7540"/>
    <w:rsid w:val="24D43407"/>
    <w:rsid w:val="263A1C3A"/>
    <w:rsid w:val="266D43E5"/>
    <w:rsid w:val="270B24E1"/>
    <w:rsid w:val="286C2E0B"/>
    <w:rsid w:val="28BE113D"/>
    <w:rsid w:val="28E0063B"/>
    <w:rsid w:val="29BF5EC1"/>
    <w:rsid w:val="29DA695C"/>
    <w:rsid w:val="29F51284"/>
    <w:rsid w:val="2B4104F9"/>
    <w:rsid w:val="2B7C48D8"/>
    <w:rsid w:val="2BF13CCD"/>
    <w:rsid w:val="2C2E0A7D"/>
    <w:rsid w:val="2C644D88"/>
    <w:rsid w:val="2C6A3260"/>
    <w:rsid w:val="2D8D5C78"/>
    <w:rsid w:val="2E291E44"/>
    <w:rsid w:val="2E8C521A"/>
    <w:rsid w:val="2FB41BE1"/>
    <w:rsid w:val="2FDB2CCA"/>
    <w:rsid w:val="2FF3270A"/>
    <w:rsid w:val="30202DD3"/>
    <w:rsid w:val="30FC114A"/>
    <w:rsid w:val="33EA7980"/>
    <w:rsid w:val="3403782C"/>
    <w:rsid w:val="342C50FB"/>
    <w:rsid w:val="344D6161"/>
    <w:rsid w:val="34EB7E53"/>
    <w:rsid w:val="353760D1"/>
    <w:rsid w:val="35613C72"/>
    <w:rsid w:val="35BF4E3C"/>
    <w:rsid w:val="35FF4E13"/>
    <w:rsid w:val="365D139B"/>
    <w:rsid w:val="36637EBD"/>
    <w:rsid w:val="36E96615"/>
    <w:rsid w:val="376D0FF4"/>
    <w:rsid w:val="383345FB"/>
    <w:rsid w:val="38C55C77"/>
    <w:rsid w:val="396B020E"/>
    <w:rsid w:val="39DF25AA"/>
    <w:rsid w:val="3ACC0A89"/>
    <w:rsid w:val="3B453FF1"/>
    <w:rsid w:val="3B871644"/>
    <w:rsid w:val="3B89153C"/>
    <w:rsid w:val="3C7249B6"/>
    <w:rsid w:val="3CA93197"/>
    <w:rsid w:val="3CE37662"/>
    <w:rsid w:val="3CEE01A6"/>
    <w:rsid w:val="3D54230E"/>
    <w:rsid w:val="3E06616F"/>
    <w:rsid w:val="3E243F6A"/>
    <w:rsid w:val="3ED92ACB"/>
    <w:rsid w:val="3F402AB0"/>
    <w:rsid w:val="3FCE63A8"/>
    <w:rsid w:val="412070D7"/>
    <w:rsid w:val="419D0727"/>
    <w:rsid w:val="420936C7"/>
    <w:rsid w:val="42213106"/>
    <w:rsid w:val="427517CB"/>
    <w:rsid w:val="42830C91"/>
    <w:rsid w:val="428445D1"/>
    <w:rsid w:val="42A45AE6"/>
    <w:rsid w:val="42A76C14"/>
    <w:rsid w:val="442E0466"/>
    <w:rsid w:val="44671521"/>
    <w:rsid w:val="44890AEF"/>
    <w:rsid w:val="44AE0556"/>
    <w:rsid w:val="459C4852"/>
    <w:rsid w:val="463B406B"/>
    <w:rsid w:val="47ED5CEE"/>
    <w:rsid w:val="481C1C7A"/>
    <w:rsid w:val="486024AF"/>
    <w:rsid w:val="48931C02"/>
    <w:rsid w:val="4A1739C8"/>
    <w:rsid w:val="4A1C41B3"/>
    <w:rsid w:val="4A792A3F"/>
    <w:rsid w:val="4B105AC6"/>
    <w:rsid w:val="4B9870FD"/>
    <w:rsid w:val="4C101250"/>
    <w:rsid w:val="4C985E3F"/>
    <w:rsid w:val="4CBE1552"/>
    <w:rsid w:val="4CF15A31"/>
    <w:rsid w:val="4D20588C"/>
    <w:rsid w:val="4D6E4D26"/>
    <w:rsid w:val="4D9549A9"/>
    <w:rsid w:val="4DBE5BE5"/>
    <w:rsid w:val="4EED49F4"/>
    <w:rsid w:val="4F2F67CA"/>
    <w:rsid w:val="4F3C5DFD"/>
    <w:rsid w:val="509C1BAA"/>
    <w:rsid w:val="50B72D13"/>
    <w:rsid w:val="50C14AD7"/>
    <w:rsid w:val="517234D1"/>
    <w:rsid w:val="518A5EA7"/>
    <w:rsid w:val="52B24406"/>
    <w:rsid w:val="52DB1D53"/>
    <w:rsid w:val="52DB4C0C"/>
    <w:rsid w:val="52E0633C"/>
    <w:rsid w:val="530714ED"/>
    <w:rsid w:val="536336C9"/>
    <w:rsid w:val="53EE4E13"/>
    <w:rsid w:val="54091C4C"/>
    <w:rsid w:val="543025F9"/>
    <w:rsid w:val="545A7E1E"/>
    <w:rsid w:val="548E0045"/>
    <w:rsid w:val="55214A96"/>
    <w:rsid w:val="55C86D34"/>
    <w:rsid w:val="55EC7130"/>
    <w:rsid w:val="561843C9"/>
    <w:rsid w:val="56336B0D"/>
    <w:rsid w:val="566C201F"/>
    <w:rsid w:val="567A064B"/>
    <w:rsid w:val="57284198"/>
    <w:rsid w:val="58B14877"/>
    <w:rsid w:val="591E5852"/>
    <w:rsid w:val="59DD395F"/>
    <w:rsid w:val="59F1740B"/>
    <w:rsid w:val="5A68688A"/>
    <w:rsid w:val="5B4F263B"/>
    <w:rsid w:val="5B8F3636"/>
    <w:rsid w:val="5D177188"/>
    <w:rsid w:val="5D2B4FD5"/>
    <w:rsid w:val="5DD00075"/>
    <w:rsid w:val="5E1E4546"/>
    <w:rsid w:val="5E7B72A3"/>
    <w:rsid w:val="5E9036DB"/>
    <w:rsid w:val="5EA26F25"/>
    <w:rsid w:val="5F2C6750"/>
    <w:rsid w:val="5F3D42F5"/>
    <w:rsid w:val="5F3F4774"/>
    <w:rsid w:val="604B01D5"/>
    <w:rsid w:val="61FA4982"/>
    <w:rsid w:val="621974FF"/>
    <w:rsid w:val="629D79C3"/>
    <w:rsid w:val="62A72D5C"/>
    <w:rsid w:val="632A2E84"/>
    <w:rsid w:val="639F57E1"/>
    <w:rsid w:val="642210AA"/>
    <w:rsid w:val="646829A6"/>
    <w:rsid w:val="65BF38EF"/>
    <w:rsid w:val="662B15AE"/>
    <w:rsid w:val="666D606B"/>
    <w:rsid w:val="670F249D"/>
    <w:rsid w:val="674C1F93"/>
    <w:rsid w:val="67A41618"/>
    <w:rsid w:val="67B25B3C"/>
    <w:rsid w:val="67B850C4"/>
    <w:rsid w:val="67D0440F"/>
    <w:rsid w:val="681D13CB"/>
    <w:rsid w:val="68604EB0"/>
    <w:rsid w:val="68D5584D"/>
    <w:rsid w:val="690305C1"/>
    <w:rsid w:val="698125D3"/>
    <w:rsid w:val="699E02E9"/>
    <w:rsid w:val="69DC778F"/>
    <w:rsid w:val="6AE461D0"/>
    <w:rsid w:val="6B0240F8"/>
    <w:rsid w:val="6B985938"/>
    <w:rsid w:val="6B9A16B0"/>
    <w:rsid w:val="6C064FCD"/>
    <w:rsid w:val="6C573D1C"/>
    <w:rsid w:val="6C885F6F"/>
    <w:rsid w:val="6CAC0C82"/>
    <w:rsid w:val="6CD748C4"/>
    <w:rsid w:val="6D0B038C"/>
    <w:rsid w:val="6F1B2B08"/>
    <w:rsid w:val="6F307C36"/>
    <w:rsid w:val="6F7B3AFE"/>
    <w:rsid w:val="701D640C"/>
    <w:rsid w:val="70A26911"/>
    <w:rsid w:val="717C7162"/>
    <w:rsid w:val="71D73CFD"/>
    <w:rsid w:val="726245AA"/>
    <w:rsid w:val="731871D2"/>
    <w:rsid w:val="73217FC1"/>
    <w:rsid w:val="7483441E"/>
    <w:rsid w:val="75736ACE"/>
    <w:rsid w:val="759859B5"/>
    <w:rsid w:val="76876CD5"/>
    <w:rsid w:val="76A71125"/>
    <w:rsid w:val="77304C77"/>
    <w:rsid w:val="77DF3F86"/>
    <w:rsid w:val="789275C4"/>
    <w:rsid w:val="78932041"/>
    <w:rsid w:val="78E24696"/>
    <w:rsid w:val="78F47F26"/>
    <w:rsid w:val="79165094"/>
    <w:rsid w:val="799E680F"/>
    <w:rsid w:val="7A546ECE"/>
    <w:rsid w:val="7B191EC6"/>
    <w:rsid w:val="7B3771DF"/>
    <w:rsid w:val="7CF952A3"/>
    <w:rsid w:val="7E470AF8"/>
    <w:rsid w:val="7ED30856"/>
    <w:rsid w:val="7F0350BA"/>
    <w:rsid w:val="7F5076DC"/>
    <w:rsid w:val="7F743B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paragraph" w:styleId="2">
    <w:name w:val="heading 1"/>
    <w:next w:val="1"/>
    <w:qFormat/>
    <w:uiPriority w:val="0"/>
    <w:pPr>
      <w:widowControl w:val="0"/>
      <w:spacing w:after="0" w:line="288" w:lineRule="auto"/>
      <w:ind w:firstLine="640" w:firstLineChars="200"/>
      <w:jc w:val="both"/>
      <w:outlineLvl w:val="0"/>
    </w:pPr>
    <w:rPr>
      <w:rFonts w:ascii="黑体" w:hAnsi="黑体" w:eastAsia="黑体" w:cs="黑体"/>
      <w:color w:val="0D0D0D"/>
      <w:spacing w:val="0"/>
      <w:kern w:val="2"/>
      <w:sz w:val="32"/>
      <w:szCs w:val="32"/>
      <w:shd w:val="clear" w:color="auto" w:fill="FFFFFF"/>
      <w:lang w:bidi="ar-SA"/>
    </w:rPr>
  </w:style>
  <w:style w:type="paragraph" w:styleId="3">
    <w:name w:val="heading 2"/>
    <w:next w:val="1"/>
    <w:unhideWhenUsed/>
    <w:qFormat/>
    <w:uiPriority w:val="0"/>
    <w:pPr>
      <w:widowControl w:val="0"/>
      <w:spacing w:after="0" w:line="288" w:lineRule="auto"/>
      <w:ind w:firstLine="562" w:firstLineChars="200"/>
      <w:jc w:val="both"/>
      <w:outlineLvl w:val="1"/>
    </w:pPr>
    <w:rPr>
      <w:rFonts w:ascii="楷体" w:hAnsi="楷体" w:eastAsia="楷体" w:cs="楷体"/>
      <w:b/>
      <w:bCs/>
      <w:color w:val="0D0D0D"/>
      <w:spacing w:val="0"/>
      <w:kern w:val="2"/>
      <w:sz w:val="28"/>
      <w:szCs w:val="28"/>
      <w:shd w:val="clear" w:color="auto" w:fill="FFFFFF"/>
      <w:lang w:bidi="ar-SA"/>
    </w:rPr>
  </w:style>
  <w:style w:type="paragraph" w:styleId="4">
    <w:name w:val="heading 3"/>
    <w:unhideWhenUsed/>
    <w:qFormat/>
    <w:uiPriority w:val="0"/>
    <w:pPr>
      <w:widowControl w:val="0"/>
      <w:spacing w:after="0" w:line="288" w:lineRule="auto"/>
      <w:ind w:firstLine="562" w:firstLineChars="200"/>
      <w:jc w:val="both"/>
      <w:outlineLvl w:val="2"/>
    </w:pPr>
    <w:rPr>
      <w:rFonts w:ascii="宋体" w:hAnsi="宋体" w:eastAsia="宋体" w:cs="宋体"/>
      <w:b/>
      <w:bCs/>
      <w:color w:val="auto"/>
      <w:spacing w:val="0"/>
      <w:kern w:val="2"/>
      <w:sz w:val="28"/>
      <w:szCs w:val="28"/>
      <w:shd w:val="clear" w:color="auto" w:fill="FFFFFF"/>
      <w:lang w:bidi="ar-SA"/>
    </w:rPr>
  </w:style>
  <w:style w:type="paragraph" w:styleId="5">
    <w:name w:val="heading 4"/>
    <w:next w:val="1"/>
    <w:qFormat/>
    <w:uiPriority w:val="0"/>
    <w:pPr>
      <w:keepNext w:val="0"/>
      <w:keepLines w:val="0"/>
      <w:widowControl/>
      <w:pBdr>
        <w:top w:val="none" w:color="auto" w:sz="0" w:space="0"/>
        <w:left w:val="none" w:color="auto" w:sz="0" w:space="0"/>
        <w:bottom w:val="none" w:color="auto" w:sz="0" w:space="0"/>
        <w:right w:val="none" w:color="auto" w:sz="0" w:space="0"/>
      </w:pBdr>
      <w:spacing w:before="0" w:beforeAutospacing="0" w:after="0" w:afterAutospacing="0" w:line="17" w:lineRule="atLeast"/>
      <w:ind w:right="0" w:rightChars="0" w:firstLine="562" w:firstLineChars="200"/>
      <w:jc w:val="both"/>
      <w:outlineLvl w:val="3"/>
    </w:pPr>
    <w:rPr>
      <w:rFonts w:ascii="宋体" w:hAnsi="宋体" w:eastAsia="宋体" w:cs="宋体"/>
      <w:b/>
      <w:bCs/>
      <w:color w:val="0D0D0D"/>
      <w:spacing w:val="0"/>
      <w:kern w:val="2"/>
      <w:sz w:val="28"/>
      <w:szCs w:val="28"/>
      <w:shd w:val="clear" w:color="auto" w:fill="FFFFFF"/>
      <w:lang w:bidi="ar-SA"/>
    </w:rPr>
  </w:style>
  <w:style w:type="paragraph" w:styleId="6">
    <w:name w:val="heading 5"/>
    <w:next w:val="1"/>
    <w:unhideWhenUsed/>
    <w:qFormat/>
    <w:uiPriority w:val="0"/>
    <w:pPr>
      <w:keepNext w:val="0"/>
      <w:keepLines w:val="0"/>
      <w:widowControl/>
      <w:pBdr>
        <w:top w:val="none" w:color="auto" w:sz="0" w:space="0"/>
        <w:left w:val="none" w:color="auto" w:sz="0" w:space="0"/>
        <w:bottom w:val="none" w:color="auto" w:sz="0" w:space="0"/>
        <w:right w:val="none" w:color="auto" w:sz="0" w:space="0"/>
      </w:pBdr>
      <w:spacing w:before="0" w:beforeAutospacing="0" w:after="0" w:afterAutospacing="0" w:line="17" w:lineRule="atLeast"/>
      <w:ind w:right="0" w:rightChars="0" w:firstLine="562" w:firstLineChars="200"/>
      <w:jc w:val="both"/>
      <w:outlineLvl w:val="4"/>
    </w:pPr>
    <w:rPr>
      <w:rFonts w:ascii="Calibri" w:hAnsi="Calibri" w:eastAsia="宋体" w:cs="Calibri"/>
      <w:b/>
      <w:bCs/>
      <w:color w:val="0D0D0D"/>
      <w:spacing w:val="0"/>
      <w:kern w:val="2"/>
      <w:sz w:val="28"/>
      <w:szCs w:val="28"/>
      <w:shd w:val="clear" w:color="auto" w:fill="FFFFFF"/>
      <w:lang w:bidi="ar-SA"/>
    </w:rPr>
  </w:style>
  <w:style w:type="paragraph" w:styleId="7">
    <w:name w:val="heading 6"/>
    <w:next w:val="1"/>
    <w:unhideWhenUsed/>
    <w:qFormat/>
    <w:uiPriority w:val="0"/>
    <w:pPr>
      <w:keepNext/>
      <w:keepLines/>
      <w:widowControl w:val="0"/>
      <w:adjustRightInd w:val="0"/>
      <w:spacing w:before="100" w:after="100" w:line="360" w:lineRule="auto"/>
      <w:jc w:val="both"/>
      <w:outlineLvl w:val="5"/>
    </w:pPr>
    <w:rPr>
      <w:rFonts w:ascii="Times New Roman" w:hAnsi="Times New Roman" w:eastAsia="宋体" w:cs="Times New Roman"/>
      <w:b/>
      <w:bCs/>
      <w:kern w:val="2"/>
      <w:sz w:val="28"/>
      <w:szCs w:val="24"/>
      <w:lang w:bidi="ar-SA"/>
    </w:rPr>
  </w:style>
  <w:style w:type="paragraph" w:styleId="8">
    <w:name w:val="heading 7"/>
    <w:next w:val="1"/>
    <w:unhideWhenUsed/>
    <w:qFormat/>
    <w:uiPriority w:val="0"/>
    <w:pPr>
      <w:keepNext/>
      <w:keepLines/>
      <w:widowControl w:val="0"/>
      <w:adjustRightInd w:val="0"/>
      <w:spacing w:before="100" w:after="100" w:line="360" w:lineRule="auto"/>
      <w:jc w:val="both"/>
      <w:outlineLvl w:val="6"/>
    </w:pPr>
    <w:rPr>
      <w:rFonts w:ascii="Times New Roman" w:hAnsi="Times New Roman" w:eastAsia="宋体" w:cs="Times New Roman"/>
      <w:b/>
      <w:bCs/>
      <w:kern w:val="2"/>
      <w:sz w:val="24"/>
      <w:szCs w:val="24"/>
      <w:lang w:bidi="ar-SA"/>
    </w:rPr>
  </w:style>
  <w:style w:type="paragraph" w:styleId="9">
    <w:name w:val="heading 8"/>
    <w:next w:val="1"/>
    <w:unhideWhenUsed/>
    <w:qFormat/>
    <w:uiPriority w:val="0"/>
    <w:pPr>
      <w:keepNext/>
      <w:keepLines/>
      <w:widowControl w:val="0"/>
      <w:adjustRightInd w:val="0"/>
      <w:spacing w:before="100" w:after="100" w:line="360" w:lineRule="auto"/>
      <w:jc w:val="both"/>
      <w:outlineLvl w:val="7"/>
    </w:pPr>
    <w:rPr>
      <w:rFonts w:ascii="Times New Roman" w:hAnsi="Times New Roman" w:eastAsia="宋体" w:cs="Times New Roman"/>
      <w:b/>
      <w:kern w:val="2"/>
      <w:sz w:val="24"/>
      <w:szCs w:val="24"/>
      <w:lang w:bidi="ar-SA"/>
    </w:rPr>
  </w:style>
  <w:style w:type="paragraph" w:styleId="10">
    <w:name w:val="heading 9"/>
    <w:next w:val="1"/>
    <w:unhideWhenUsed/>
    <w:qFormat/>
    <w:uiPriority w:val="0"/>
    <w:pPr>
      <w:keepNext/>
      <w:keepLines/>
      <w:widowControl w:val="0"/>
      <w:adjustRightInd w:val="0"/>
      <w:spacing w:before="100" w:after="100" w:line="360" w:lineRule="auto"/>
      <w:jc w:val="both"/>
      <w:outlineLvl w:val="8"/>
    </w:pPr>
    <w:rPr>
      <w:rFonts w:ascii="Times New Roman" w:hAnsi="Times New Roman" w:eastAsia="宋体" w:cs="Times New Roman"/>
      <w:b/>
      <w:kern w:val="2"/>
      <w:sz w:val="21"/>
      <w:szCs w:val="21"/>
      <w:lang w:bidi="ar-SA"/>
    </w:rPr>
  </w:style>
  <w:style w:type="character" w:default="1" w:styleId="22">
    <w:name w:val="Default Paragraph Font"/>
    <w:unhideWhenUsed/>
    <w:qFormat/>
    <w:uiPriority w:val="1"/>
  </w:style>
  <w:style w:type="table" w:default="1" w:styleId="20">
    <w:name w:val="Normal Table"/>
    <w:unhideWhenUsed/>
    <w:qFormat/>
    <w:uiPriority w:val="99"/>
    <w:tblPr>
      <w:tblStyle w:val="20"/>
      <w:tblCellMar>
        <w:top w:w="0" w:type="dxa"/>
        <w:left w:w="108" w:type="dxa"/>
        <w:bottom w:w="0" w:type="dxa"/>
        <w:right w:w="108" w:type="dxa"/>
      </w:tblCellMar>
    </w:tblPr>
  </w:style>
  <w:style w:type="paragraph" w:styleId="11">
    <w:name w:val="table of authorities"/>
    <w:basedOn w:val="1"/>
    <w:next w:val="1"/>
    <w:qFormat/>
    <w:uiPriority w:val="99"/>
    <w:pPr>
      <w:ind w:left="420" w:leftChars="200"/>
    </w:pPr>
  </w:style>
  <w:style w:type="paragraph" w:styleId="12">
    <w:name w:val="Body Text"/>
    <w:uiPriority w:val="0"/>
    <w:pPr>
      <w:widowControl w:val="0"/>
      <w:spacing w:after="0" w:line="288" w:lineRule="auto"/>
      <w:ind w:firstLine="560" w:firstLineChars="200"/>
      <w:jc w:val="both"/>
      <w:outlineLvl w:val="9"/>
    </w:pPr>
    <w:rPr>
      <w:rFonts w:ascii="宋体" w:hAnsi="Calibri" w:eastAsia="宋体" w:cs="Times New Roman"/>
      <w:spacing w:val="0"/>
      <w:sz w:val="28"/>
    </w:rPr>
  </w:style>
  <w:style w:type="paragraph" w:styleId="13">
    <w:name w:val="Date"/>
    <w:basedOn w:val="1"/>
    <w:next w:val="1"/>
    <w:link w:val="26"/>
    <w:uiPriority w:val="0"/>
    <w:pPr>
      <w:ind w:left="100" w:leftChars="2500"/>
    </w:pPr>
  </w:style>
  <w:style w:type="paragraph" w:styleId="14">
    <w:name w:val="Balloon Text"/>
    <w:basedOn w:val="1"/>
    <w:link w:val="27"/>
    <w:uiPriority w:val="0"/>
    <w:rPr>
      <w:sz w:val="18"/>
      <w:szCs w:val="18"/>
    </w:rPr>
  </w:style>
  <w:style w:type="paragraph" w:styleId="15">
    <w:name w:val="footer"/>
    <w:basedOn w:val="1"/>
    <w:link w:val="28"/>
    <w:qFormat/>
    <w:uiPriority w:val="99"/>
    <w:pPr>
      <w:tabs>
        <w:tab w:val="center" w:pos="4153"/>
        <w:tab w:val="right" w:pos="8306"/>
      </w:tabs>
      <w:snapToGrid w:val="0"/>
      <w:jc w:val="left"/>
    </w:pPr>
    <w:rPr>
      <w:sz w:val="18"/>
    </w:rPr>
  </w:style>
  <w:style w:type="paragraph" w:styleId="16">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qFormat/>
    <w:uiPriority w:val="0"/>
    <w:pPr>
      <w:widowControl w:val="0"/>
      <w:adjustRightInd w:val="0"/>
      <w:spacing w:before="100" w:after="100" w:line="240" w:lineRule="auto"/>
      <w:jc w:val="center"/>
      <w:outlineLvl w:val="9"/>
    </w:pPr>
    <w:rPr>
      <w:rFonts w:ascii="Times New Roman" w:hAnsi="Times New Roman" w:eastAsia="黑体" w:cs="Times New Roman"/>
      <w:b/>
      <w:kern w:val="28"/>
      <w:sz w:val="32"/>
      <w:szCs w:val="24"/>
      <w:lang w:bidi="ar-SA"/>
    </w:rPr>
  </w:style>
  <w:style w:type="paragraph" w:styleId="18">
    <w:name w:val="Normal (Web)"/>
    <w:basedOn w:val="1"/>
    <w:qFormat/>
    <w:uiPriority w:val="99"/>
    <w:pPr>
      <w:widowControl/>
      <w:spacing w:before="100" w:beforeAutospacing="1" w:after="100" w:afterAutospacing="1" w:line="600" w:lineRule="exact"/>
      <w:jc w:val="left"/>
    </w:pPr>
    <w:rPr>
      <w:rFonts w:ascii="Times New Roman" w:hAnsi="Times New Roman"/>
      <w:color w:val="000000"/>
      <w:kern w:val="0"/>
      <w:sz w:val="24"/>
      <w:szCs w:val="32"/>
    </w:rPr>
  </w:style>
  <w:style w:type="paragraph" w:styleId="19">
    <w:name w:val="Title"/>
    <w:qFormat/>
    <w:uiPriority w:val="0"/>
    <w:pPr>
      <w:widowControl w:val="0"/>
      <w:spacing w:after="0" w:line="288" w:lineRule="auto"/>
      <w:ind w:left="0" w:leftChars="0" w:firstLine="0" w:firstLineChars="0"/>
      <w:jc w:val="center"/>
      <w:outlineLvl w:val="9"/>
    </w:pPr>
    <w:rPr>
      <w:rFonts w:ascii="方正小标宋简体" w:hAnsi="方正小标宋简体" w:eastAsia="方正小标宋简体" w:cs="方正小标宋简体"/>
      <w:color w:val="0D0D0D"/>
      <w:spacing w:val="0"/>
      <w:kern w:val="2"/>
      <w:sz w:val="36"/>
      <w:szCs w:val="36"/>
      <w:shd w:val="clear" w:color="auto" w:fill="FFFFFF"/>
      <w:lang w:bidi="ar-SA"/>
    </w:rPr>
  </w:style>
  <w:style w:type="table" w:styleId="21">
    <w:name w:val="Table Grid"/>
    <w:basedOn w:val="20"/>
    <w:qFormat/>
    <w:uiPriority w:val="0"/>
    <w:pPr>
      <w:widowControl w:val="0"/>
      <w:jc w:val="both"/>
    </w:p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qFormat/>
    <w:uiPriority w:val="0"/>
    <w:rPr>
      <w:b/>
    </w:rPr>
  </w:style>
  <w:style w:type="character" w:styleId="24">
    <w:name w:val="FollowedHyperlink"/>
    <w:qFormat/>
    <w:uiPriority w:val="0"/>
    <w:rPr>
      <w:color w:val="72ACE8"/>
      <w:u w:val="single"/>
    </w:rPr>
  </w:style>
  <w:style w:type="character" w:styleId="25">
    <w:name w:val="Hyperlink"/>
    <w:basedOn w:val="22"/>
    <w:qFormat/>
    <w:uiPriority w:val="0"/>
    <w:rPr>
      <w:color w:val="72ACE8"/>
      <w:u w:val="single"/>
    </w:rPr>
  </w:style>
  <w:style w:type="character" w:customStyle="1" w:styleId="26">
    <w:name w:val="日期 Char"/>
    <w:link w:val="13"/>
    <w:uiPriority w:val="0"/>
    <w:rPr>
      <w:rFonts w:ascii="Calibri" w:hAnsi="Calibri"/>
      <w:kern w:val="2"/>
      <w:sz w:val="21"/>
      <w:szCs w:val="24"/>
    </w:rPr>
  </w:style>
  <w:style w:type="character" w:customStyle="1" w:styleId="27">
    <w:name w:val="批注框文本 Char"/>
    <w:link w:val="14"/>
    <w:uiPriority w:val="0"/>
    <w:rPr>
      <w:rFonts w:ascii="Calibri" w:hAnsi="Calibri"/>
      <w:kern w:val="2"/>
      <w:sz w:val="18"/>
      <w:szCs w:val="18"/>
    </w:rPr>
  </w:style>
  <w:style w:type="character" w:customStyle="1" w:styleId="28">
    <w:name w:val="页脚 Char"/>
    <w:link w:val="15"/>
    <w:uiPriority w:val="99"/>
    <w:rPr>
      <w:rFonts w:ascii="Calibri" w:hAnsi="Calibri"/>
      <w:kern w:val="2"/>
      <w:sz w:val="18"/>
      <w:szCs w:val="24"/>
    </w:rPr>
  </w:style>
  <w:style w:type="character" w:customStyle="1" w:styleId="29">
    <w:name w:val="页眉 Char"/>
    <w:link w:val="16"/>
    <w:qFormat/>
    <w:uiPriority w:val="0"/>
    <w:rPr>
      <w:rFonts w:ascii="Calibri" w:hAnsi="Calibri"/>
      <w:kern w:val="2"/>
      <w:sz w:val="18"/>
      <w:szCs w:val="18"/>
    </w:rPr>
  </w:style>
  <w:style w:type="paragraph" w:customStyle="1" w:styleId="30">
    <w:name w:val="wang正文"/>
    <w:basedOn w:val="1"/>
    <w:qFormat/>
    <w:uiPriority w:val="0"/>
    <w:pPr>
      <w:tabs>
        <w:tab w:val="left" w:pos="6840"/>
      </w:tabs>
      <w:topLinePunct/>
      <w:ind w:firstLine="420"/>
    </w:pPr>
    <w:rPr>
      <w:kern w:val="0"/>
    </w:rPr>
  </w:style>
  <w:style w:type="character" w:customStyle="1" w:styleId="31">
    <w:name w:val="edui-clickable"/>
    <w:qFormat/>
    <w:uiPriority w:val="0"/>
    <w:rPr>
      <w:color w:val="0000FF"/>
      <w:u w:val="single"/>
    </w:rPr>
  </w:style>
  <w:style w:type="character" w:customStyle="1" w:styleId="32">
    <w:name w:val="wuidatespan"/>
    <w:qFormat/>
    <w:uiPriority w:val="0"/>
  </w:style>
  <w:style w:type="character" w:customStyle="1" w:styleId="33">
    <w:name w:val="href"/>
    <w:qFormat/>
    <w:uiPriority w:val="0"/>
    <w:rPr>
      <w:color w:val="0000FF"/>
      <w:u w:val="single"/>
    </w:rPr>
  </w:style>
  <w:style w:type="character" w:customStyle="1" w:styleId="34">
    <w:name w:val="edui-unclickable"/>
    <w:qFormat/>
    <w:uiPriority w:val="0"/>
    <w:rPr>
      <w:color w:val="808080"/>
    </w:rPr>
  </w:style>
  <w:style w:type="character" w:customStyle="1" w:styleId="35">
    <w:name w:val="first-child"/>
    <w:qFormat/>
    <w:uiPriority w:val="0"/>
    <w:rPr>
      <w:vanish/>
    </w:rPr>
  </w:style>
  <w:style w:type="character" w:customStyle="1" w:styleId="36">
    <w:name w:val="edui-clickable2"/>
    <w:qFormat/>
    <w:uiPriority w:val="0"/>
    <w:rPr>
      <w:color w:val="0000FF"/>
      <w:u w:val="single"/>
    </w:rPr>
  </w:style>
  <w:style w:type="character" w:customStyle="1" w:styleId="37">
    <w:name w:val="font21"/>
    <w:basedOn w:val="22"/>
    <w:qFormat/>
    <w:uiPriority w:val="0"/>
    <w:rPr>
      <w:rFonts w:hint="eastAsia" w:ascii="宋体" w:hAnsi="宋体" w:eastAsia="宋体" w:cs="宋体"/>
      <w:color w:val="FF0000"/>
      <w:sz w:val="24"/>
      <w:szCs w:val="24"/>
      <w:u w:val="none"/>
    </w:rPr>
  </w:style>
  <w:style w:type="character" w:customStyle="1" w:styleId="38">
    <w:name w:val="font11"/>
    <w:basedOn w:val="22"/>
    <w:qFormat/>
    <w:uiPriority w:val="0"/>
    <w:rPr>
      <w:rFonts w:hint="eastAsia" w:ascii="宋体" w:hAnsi="宋体" w:eastAsia="宋体" w:cs="宋体"/>
      <w:color w:val="000000"/>
      <w:sz w:val="24"/>
      <w:szCs w:val="24"/>
      <w:u w:val="none"/>
    </w:rPr>
  </w:style>
  <w:style w:type="paragraph" w:customStyle="1" w:styleId="39">
    <w:name w:val="列出段落1"/>
    <w:basedOn w:val="1"/>
    <w:qFormat/>
    <w:uiPriority w:val="34"/>
    <w:pPr>
      <w:ind w:firstLine="200" w:firstLineChars="200"/>
    </w:pPr>
    <w:rPr>
      <w:rFonts w:ascii="Calibri" w:hAnsi="Calibri" w:cs="黑体"/>
      <w:szCs w:val="22"/>
      <w:lang w:bidi="ar-SA"/>
    </w:rPr>
  </w:style>
  <w:style w:type="character" w:customStyle="1" w:styleId="40">
    <w:name w:val="font31"/>
    <w:basedOn w:val="22"/>
    <w:qFormat/>
    <w:uiPriority w:val="0"/>
    <w:rPr>
      <w:rFonts w:hint="eastAsia" w:ascii="宋体" w:hAnsi="宋体" w:eastAsia="宋体" w:cs="宋体"/>
      <w:b/>
      <w:bCs/>
      <w:color w:val="FF0000"/>
      <w:sz w:val="24"/>
      <w:szCs w:val="24"/>
      <w:u w:val="none"/>
    </w:rPr>
  </w:style>
  <w:style w:type="paragraph" w:customStyle="1" w:styleId="41">
    <w:name w:val="_Style 13"/>
    <w:qFormat/>
    <w:uiPriority w:val="0"/>
    <w:pPr>
      <w:spacing w:before="120" w:after="120" w:line="288" w:lineRule="auto"/>
      <w:ind w:left="0"/>
      <w:jc w:val="left"/>
    </w:pPr>
    <w:rPr>
      <w:rFonts w:ascii="Arial" w:hAnsi="Arial" w:eastAsia="等线" w:cs="Arial"/>
      <w:sz w:val="22"/>
      <w:szCs w:val="22"/>
    </w:rPr>
  </w:style>
  <w:style w:type="paragraph" w:customStyle="1" w:styleId="42">
    <w:name w:val="List Paragraph"/>
    <w:basedOn w:val="1"/>
    <w:qFormat/>
    <w:uiPriority w:val="34"/>
    <w:pPr>
      <w:ind w:firstLine="420"/>
    </w:pPr>
  </w:style>
  <w:style w:type="paragraph" w:customStyle="1" w:styleId="43">
    <w:name w:val="Default"/>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44">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textRotate="1"/>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1971</Words>
  <Characters>2061</Characters>
  <Lines>12</Lines>
  <Paragraphs>3</Paragraphs>
  <TotalTime>1058</TotalTime>
  <ScaleCrop>false</ScaleCrop>
  <LinksUpToDate>false</LinksUpToDate>
  <CharactersWithSpaces>2074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2018-12-10T05:40:00Z</dcterms:created>
  <dc:creator>jack</dc:creator>
  <cp:lastModifiedBy>任雪冬</cp:lastModifiedBy>
  <cp:lastPrinted>2025-05-19T03:49:45Z</cp:lastPrinted>
  <dcterms:modified xsi:type="dcterms:W3CDTF">2026-08-27T23:26:33Z</dcterms:modified>
  <cp:revision>213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8E77E2EE59E94599804FFDB0C2DA4A71_13</vt:lpwstr>
  </property>
  <property fmtid="{D5CDD505-2E9C-101B-9397-08002B2CF9AE}" pid="4" name="KSOTemplateDocerSaveRecord">
    <vt:lpwstr>eyJoZGlkIjoiNDkxMmE2ZGMxMDk2YzA1ZTQwNmFkNjAyYjIxNmVhZDIiLCJ1c2VySWQiOiI0Mjk3NTQxMTEifQ==</vt:lpwstr>
  </property>
</Properties>
</file>