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4361C">
      <w:pPr>
        <w:pStyle w:val="2"/>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sz w:val="28"/>
          <w:szCs w:val="28"/>
          <w:highlight w:val="none"/>
        </w:rPr>
      </w:pPr>
      <w:bookmarkStart w:id="0" w:name="_Toc5327"/>
    </w:p>
    <w:p w14:paraId="27809727">
      <w:pPr>
        <w:pStyle w:val="2"/>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b/>
          <w:bCs/>
          <w:sz w:val="36"/>
          <w:szCs w:val="36"/>
          <w:highlight w:val="none"/>
        </w:rPr>
      </w:pPr>
      <w:r>
        <w:rPr>
          <w:rFonts w:hint="eastAsia"/>
          <w:sz w:val="40"/>
          <w:szCs w:val="40"/>
          <w:highlight w:val="none"/>
        </w:rPr>
        <w:t xml:space="preserve"> 采购需求</w:t>
      </w:r>
      <w:bookmarkEnd w:id="0"/>
      <w:bookmarkStart w:id="1" w:name="_Toc49090575"/>
      <w:bookmarkEnd w:id="1"/>
      <w:bookmarkStart w:id="2" w:name="_Toc26554093"/>
      <w:bookmarkEnd w:id="2"/>
    </w:p>
    <w:p w14:paraId="4B1A99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D0D0D" w:themeColor="text1" w:themeTint="F2"/>
          <w:sz w:val="24"/>
          <w:szCs w:val="24"/>
          <w:highlight w:val="none"/>
          <w:lang w:eastAsia="zh-CN"/>
          <w14:textFill>
            <w14:solidFill>
              <w14:schemeClr w14:val="tx1">
                <w14:lumMod w14:val="95000"/>
                <w14:lumOff w14:val="5000"/>
              </w14:schemeClr>
            </w14:solidFill>
          </w14:textFill>
        </w:rPr>
      </w:pPr>
      <w:r>
        <w:rPr>
          <w:rFonts w:hint="eastAsia" w:ascii="宋体" w:hAnsi="宋体" w:eastAsia="宋体" w:cs="宋体"/>
          <w:sz w:val="24"/>
          <w:szCs w:val="24"/>
          <w:highlight w:val="none"/>
          <w:lang w:val="en-US" w:eastAsia="zh-CN"/>
        </w:rPr>
        <w:t>1.拟采购的标的：</w:t>
      </w:r>
      <w:r>
        <w:rPr>
          <w:rFonts w:hint="eastAsia" w:ascii="宋体" w:hAnsi="宋体" w:eastAsia="宋体" w:cs="宋体"/>
          <w:color w:val="0D0D0D" w:themeColor="text1" w:themeTint="F2"/>
          <w:sz w:val="24"/>
          <w:szCs w:val="24"/>
          <w:highlight w:val="none"/>
          <w:lang w:eastAsia="zh-CN"/>
          <w14:textFill>
            <w14:solidFill>
              <w14:schemeClr w14:val="tx1">
                <w14:lumMod w14:val="95000"/>
                <w14:lumOff w14:val="5000"/>
              </w14:schemeClr>
            </w14:solidFill>
          </w14:textFill>
        </w:rPr>
        <w:t>黑龙江农业职业技术学院</w:t>
      </w: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畜牧兽医专业群教学成果凝练与优化指导服务</w:t>
      </w:r>
      <w:r>
        <w:rPr>
          <w:rFonts w:hint="eastAsia" w:ascii="宋体" w:hAnsi="宋体" w:eastAsia="宋体" w:cs="宋体"/>
          <w:color w:val="0D0D0D" w:themeColor="text1" w:themeTint="F2"/>
          <w:sz w:val="24"/>
          <w:szCs w:val="24"/>
          <w:highlight w:val="none"/>
          <w:lang w:eastAsia="zh-CN"/>
          <w14:textFill>
            <w14:solidFill>
              <w14:schemeClr w14:val="tx1">
                <w14:lumMod w14:val="95000"/>
                <w14:lumOff w14:val="5000"/>
              </w14:schemeClr>
            </w14:solidFill>
          </w14:textFill>
        </w:rPr>
        <w:t>项目。</w:t>
      </w:r>
    </w:p>
    <w:p w14:paraId="4A122AE7">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2.技术要求</w:t>
      </w:r>
    </w:p>
    <w:p w14:paraId="36219863">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2.1项目背景</w:t>
      </w:r>
    </w:p>
    <w:p w14:paraId="7D2EA8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为深入贯彻《教育部办公厅关于加快推进现代化职业教育体系建设改革重点任务的通知》要求，落实《教育强国建设规划纲要（2024—2035年）》精神，</w:t>
      </w:r>
      <w:r>
        <w:rPr>
          <w:rFonts w:hint="eastAsia" w:ascii="宋体" w:hAnsi="宋体" w:eastAsia="宋体" w:cs="宋体"/>
          <w:color w:val="0D0D0D" w:themeColor="text1" w:themeTint="F2"/>
          <w:sz w:val="24"/>
          <w:szCs w:val="24"/>
          <w:highlight w:val="none"/>
          <w:lang w:eastAsia="zh-CN"/>
          <w14:textFill>
            <w14:solidFill>
              <w14:schemeClr w14:val="tx1">
                <w14:lumMod w14:val="95000"/>
                <w14:lumOff w14:val="5000"/>
              </w14:schemeClr>
            </w14:solidFill>
          </w14:textFill>
        </w:rPr>
        <w:t>黑龙江农业职业技术学院</w:t>
      </w:r>
      <w:r>
        <w:rPr>
          <w:rFonts w:hint="eastAsia" w:ascii="宋体" w:hAnsi="宋体" w:eastAsia="宋体" w:cs="宋体"/>
          <w:sz w:val="24"/>
          <w:szCs w:val="24"/>
          <w:highlight w:val="none"/>
          <w:lang w:val="en-US" w:eastAsia="zh-CN"/>
        </w:rPr>
        <w:t>在动物科学系《“以翼筑融 特色学徒 一核三撑 以赛砺能”畜牧兽医专业群建设模式创新与实践》项目获2024年省教育教学成果特等奖基础上，针对现有教学成果存在的经验做法凝练不足、佐证材料体系不完善、创新点与教学问题匹配度不高、数据支撑力度薄弱等现实问题，特实施“</w:t>
      </w: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畜牧兽医专业群教学成果凝练与优化指导服务</w:t>
      </w:r>
      <w:r>
        <w:rPr>
          <w:rFonts w:hint="eastAsia" w:ascii="宋体" w:hAnsi="宋体" w:eastAsia="宋体" w:cs="宋体"/>
          <w:color w:val="0D0D0D" w:themeColor="text1" w:themeTint="F2"/>
          <w:sz w:val="24"/>
          <w:szCs w:val="24"/>
          <w:highlight w:val="none"/>
          <w:lang w:eastAsia="zh-CN"/>
          <w14:textFill>
            <w14:solidFill>
              <w14:schemeClr w14:val="tx1">
                <w14:lumMod w14:val="95000"/>
                <w14:lumOff w14:val="5000"/>
              </w14:schemeClr>
            </w14:solidFill>
          </w14:textFill>
        </w:rPr>
        <w:t>项目</w:t>
      </w:r>
      <w:r>
        <w:rPr>
          <w:rFonts w:hint="eastAsia" w:ascii="宋体" w:hAnsi="宋体" w:eastAsia="宋体" w:cs="宋体"/>
          <w:sz w:val="24"/>
          <w:szCs w:val="24"/>
          <w:highlight w:val="none"/>
          <w:lang w:val="en-US" w:eastAsia="zh-CN"/>
        </w:rPr>
        <w:t>”。</w:t>
      </w:r>
    </w:p>
    <w:p w14:paraId="59540D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聚焦国家级教学成果培育目标，通过构建“理论研修-实践打磨-成果凝练-申报优化”四位一体的成果凝练与优化体系，整合全国知名专家团队、职教名师及行业专家资源，系统开展成果提炼方法论培训与申报材料靶向研磨。</w:t>
      </w:r>
    </w:p>
    <w:p w14:paraId="5891EDD7">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2.2项目要求</w:t>
      </w:r>
    </w:p>
    <w:p w14:paraId="0BBBBD46">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（一）总体目标</w:t>
      </w:r>
    </w:p>
    <w:p w14:paraId="7E639DDA">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 xml:space="preserve">以学校教学成果奖的申报为契机，全面提高学校教师的教研能力。 </w:t>
      </w:r>
    </w:p>
    <w:p w14:paraId="642B5FCE">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（二）具体目标</w:t>
      </w:r>
    </w:p>
    <w:p w14:paraId="6014109F">
      <w:pPr>
        <w:pStyle w:val="8"/>
        <w:spacing w:line="360" w:lineRule="auto"/>
        <w:ind w:firstLine="480" w:firstLineChars="200"/>
        <w:rPr>
          <w:color w:val="auto"/>
          <w:highlight w:val="none"/>
        </w:rPr>
      </w:pPr>
      <w:r>
        <w:rPr>
          <w:rFonts w:hint="eastAsia" w:ascii="宋体" w:hAnsi="宋体" w:eastAsia="宋体" w:cs="宋体"/>
          <w:color w:val="auto"/>
          <w:kern w:val="2"/>
          <w:sz w:val="24"/>
          <w:szCs w:val="24"/>
          <w:highlight w:val="none"/>
          <w:lang w:val="en-US" w:eastAsia="zh-CN" w:bidi="ar-SA"/>
        </w:rPr>
        <w:t>（一）教师能力提升目标：通过开展教师研修，实现专业群骨干教师精准培训，使参训教师100%掌握教学成果提炼方法论，其中60%教师能够独立完成成果创新点挖掘与佐证链条构建。</w:t>
      </w:r>
    </w:p>
    <w:p w14:paraId="4875001E">
      <w:pPr>
        <w:pStyle w:val="8"/>
        <w:spacing w:line="360" w:lineRule="auto"/>
        <w:ind w:firstLine="480" w:firstLineChars="200"/>
        <w:rPr>
          <w:color w:val="auto"/>
          <w:highlight w:val="none"/>
        </w:rPr>
      </w:pPr>
      <w:r>
        <w:rPr>
          <w:rFonts w:hint="eastAsia" w:ascii="宋体" w:hAnsi="宋体" w:eastAsia="宋体" w:cs="宋体"/>
          <w:color w:val="auto"/>
          <w:kern w:val="2"/>
          <w:sz w:val="24"/>
          <w:szCs w:val="24"/>
          <w:highlight w:val="none"/>
          <w:lang w:val="en-US" w:eastAsia="zh-CN" w:bidi="ar-SA"/>
        </w:rPr>
        <w:t>（二）成果培育目标：重点培育教学成果项目，形成符合国家级评审标准的申报材料，冲刺国家级教学成果奖。</w:t>
      </w:r>
    </w:p>
    <w:p w14:paraId="018864E2">
      <w:pPr>
        <w:pStyle w:val="8"/>
        <w:spacing w:line="360" w:lineRule="auto"/>
        <w:ind w:firstLine="480" w:firstLineChars="200"/>
        <w:rPr>
          <w:color w:val="auto"/>
          <w:highlight w:val="none"/>
        </w:rPr>
      </w:pPr>
      <w:r>
        <w:rPr>
          <w:rFonts w:hint="eastAsia" w:ascii="宋体" w:hAnsi="宋体" w:eastAsia="宋体" w:cs="宋体"/>
          <w:color w:val="auto"/>
          <w:kern w:val="2"/>
          <w:sz w:val="24"/>
          <w:szCs w:val="24"/>
          <w:highlight w:val="none"/>
          <w:lang w:val="en-US" w:eastAsia="zh-CN" w:bidi="ar-SA"/>
        </w:rPr>
        <w:t>（三）资源建设目标：完成近十年教学质量监测数据的系统梳理，构建包含教师提升、学生发展、社会服务等3大维度的动态佐证数据库，开发1套成果可视化展示系统及配套数据报表模板。</w:t>
      </w:r>
    </w:p>
    <w:p w14:paraId="0D74E363">
      <w:pPr>
        <w:pStyle w:val="8"/>
        <w:spacing w:line="360" w:lineRule="auto"/>
        <w:ind w:firstLine="480" w:firstLineChars="200"/>
        <w:rPr>
          <w:color w:val="auto"/>
          <w:highlight w:val="none"/>
        </w:rPr>
      </w:pPr>
      <w:r>
        <w:rPr>
          <w:rFonts w:hint="eastAsia" w:ascii="宋体" w:hAnsi="宋体" w:eastAsia="宋体" w:cs="宋体"/>
          <w:color w:val="auto"/>
          <w:kern w:val="2"/>
          <w:sz w:val="24"/>
          <w:szCs w:val="24"/>
          <w:highlight w:val="none"/>
          <w:lang w:val="en-US" w:eastAsia="zh-CN" w:bidi="ar-SA"/>
        </w:rPr>
        <w:t>（四）机制创新目标：建立"专家指导-团队研磨-固化推广"三位一体的培育机制，形成可复制的成果申报工作规范与流程指引。</w:t>
      </w:r>
    </w:p>
    <w:p w14:paraId="5C64DAA6">
      <w:pPr>
        <w:pStyle w:val="8"/>
        <w:spacing w:line="360" w:lineRule="auto"/>
        <w:ind w:firstLine="480" w:firstLineChars="200"/>
        <w:rPr>
          <w:color w:val="auto"/>
          <w:highlight w:val="none"/>
        </w:rPr>
      </w:pPr>
      <w:r>
        <w:rPr>
          <w:rFonts w:hint="eastAsia" w:ascii="宋体" w:hAnsi="宋体" w:eastAsia="宋体" w:cs="宋体"/>
          <w:color w:val="auto"/>
          <w:kern w:val="2"/>
          <w:sz w:val="24"/>
          <w:szCs w:val="24"/>
          <w:highlight w:val="none"/>
          <w:lang w:val="en-US" w:eastAsia="zh-CN" w:bidi="ar-SA"/>
        </w:rPr>
        <w:t>（五）质量提升目标：通过成果培育带动教师教研能力显著提升，使专业群教学成果奖申报材料的规范性、创新性和数据支撑力度较上届大幅度提升。</w:t>
      </w:r>
    </w:p>
    <w:p w14:paraId="6277A22A">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2.3服务内容及要求</w:t>
      </w:r>
    </w:p>
    <w:tbl>
      <w:tblPr>
        <w:tblStyle w:val="9"/>
        <w:tblW w:w="564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21"/>
        <w:gridCol w:w="3662"/>
        <w:gridCol w:w="846"/>
        <w:gridCol w:w="1047"/>
        <w:gridCol w:w="1047"/>
        <w:gridCol w:w="1056"/>
      </w:tblGrid>
      <w:tr w14:paraId="3F542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918" w:type="pct"/>
            <w:vAlign w:val="center"/>
          </w:tcPr>
          <w:p w14:paraId="5FE1D58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培训模块</w:t>
            </w:r>
          </w:p>
        </w:tc>
        <w:tc>
          <w:tcPr>
            <w:tcW w:w="1952" w:type="pct"/>
            <w:vAlign w:val="center"/>
          </w:tcPr>
          <w:p w14:paraId="17E20E0C">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讲座主题</w:t>
            </w:r>
          </w:p>
        </w:tc>
        <w:tc>
          <w:tcPr>
            <w:tcW w:w="451" w:type="pct"/>
            <w:vAlign w:val="center"/>
          </w:tcPr>
          <w:p w14:paraId="21E7677D">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培训</w:t>
            </w:r>
          </w:p>
          <w:p w14:paraId="6AE4347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课时</w:t>
            </w:r>
          </w:p>
        </w:tc>
        <w:tc>
          <w:tcPr>
            <w:tcW w:w="558" w:type="pct"/>
            <w:vAlign w:val="center"/>
          </w:tcPr>
          <w:p w14:paraId="00756F51">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验收</w:t>
            </w:r>
          </w:p>
          <w:p w14:paraId="21AEED4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标准</w:t>
            </w:r>
          </w:p>
        </w:tc>
        <w:tc>
          <w:tcPr>
            <w:tcW w:w="558" w:type="pct"/>
            <w:vAlign w:val="center"/>
          </w:tcPr>
          <w:p w14:paraId="680B95FE">
            <w:pPr>
              <w:spacing w:line="360" w:lineRule="auto"/>
              <w:jc w:val="center"/>
              <w:rPr>
                <w:rFonts w:hint="default"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单价</w:t>
            </w:r>
          </w:p>
        </w:tc>
        <w:tc>
          <w:tcPr>
            <w:tcW w:w="559" w:type="pct"/>
            <w:vAlign w:val="center"/>
          </w:tcPr>
          <w:p w14:paraId="2AB9EF0D">
            <w:pPr>
              <w:spacing w:line="360" w:lineRule="auto"/>
              <w:jc w:val="center"/>
              <w:rPr>
                <w:rFonts w:hint="default"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总价</w:t>
            </w:r>
          </w:p>
        </w:tc>
      </w:tr>
      <w:tr w14:paraId="5BB51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5" w:hRule="atLeast"/>
        </w:trPr>
        <w:tc>
          <w:tcPr>
            <w:tcW w:w="918" w:type="pct"/>
            <w:vAlign w:val="center"/>
          </w:tcPr>
          <w:p w14:paraId="46FBB040">
            <w:pPr>
              <w:pStyle w:val="3"/>
              <w:spacing w:before="230" w:line="360" w:lineRule="auto"/>
              <w:jc w:val="left"/>
              <w:rPr>
                <w:rFonts w:hint="eastAsia"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1.教学成果奖申报书及总结报告修改指导服务</w:t>
            </w:r>
          </w:p>
        </w:tc>
        <w:tc>
          <w:tcPr>
            <w:tcW w:w="1952" w:type="pct"/>
            <w:vAlign w:val="center"/>
          </w:tcPr>
          <w:p w14:paraId="023D78F5">
            <w:pPr>
              <w:pStyle w:val="3"/>
              <w:keepNext w:val="0"/>
              <w:keepLines w:val="0"/>
              <w:pageBreakBefore w:val="0"/>
              <w:widowControl w:val="0"/>
              <w:kinsoku/>
              <w:wordWrap/>
              <w:overflowPunct/>
              <w:topLinePunct w:val="0"/>
              <w:autoSpaceDE/>
              <w:autoSpaceDN/>
              <w:bidi w:val="0"/>
              <w:adjustRightInd/>
              <w:snapToGrid/>
              <w:spacing w:line="360" w:lineRule="auto"/>
              <w:ind w:firstLine="191" w:firstLineChars="100"/>
              <w:jc w:val="left"/>
              <w:textAlignment w:val="auto"/>
              <w:rPr>
                <w:rFonts w:hint="eastAsia" w:asciiTheme="minorEastAsia" w:hAnsiTheme="minorEastAsia" w:eastAsiaTheme="minorEastAsia" w:cstheme="minorEastAsia"/>
                <w:b/>
                <w:bCs/>
                <w:color w:val="auto"/>
                <w:spacing w:val="-10"/>
                <w:sz w:val="21"/>
                <w:szCs w:val="21"/>
                <w:highlight w:val="none"/>
                <w:lang w:val="en-US" w:eastAsia="zh-CN"/>
              </w:rPr>
            </w:pPr>
            <w:r>
              <w:rPr>
                <w:rFonts w:hint="eastAsia" w:asciiTheme="minorEastAsia" w:hAnsiTheme="minorEastAsia" w:eastAsiaTheme="minorEastAsia" w:cstheme="minorEastAsia"/>
                <w:b/>
                <w:bCs/>
                <w:color w:val="auto"/>
                <w:spacing w:val="-10"/>
                <w:sz w:val="21"/>
                <w:szCs w:val="21"/>
                <w:highlight w:val="none"/>
                <w:lang w:val="en-US" w:eastAsia="zh-CN"/>
              </w:rPr>
              <w:t>教学成果培育、申报、结项验收及应用</w:t>
            </w:r>
          </w:p>
          <w:p w14:paraId="52B04585">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1、教育成果奖的解读和选题</w:t>
            </w:r>
          </w:p>
          <w:p w14:paraId="41281907">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2、教育成果奖的培育与申报</w:t>
            </w:r>
          </w:p>
          <w:p w14:paraId="5AF0FC99">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3、教学成果申报材料的后期打磨</w:t>
            </w:r>
          </w:p>
          <w:p w14:paraId="107148ED">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default"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4.成果支撑材料梳理咨询指导</w:t>
            </w:r>
          </w:p>
          <w:p w14:paraId="2371A139">
            <w:pPr>
              <w:pStyle w:val="3"/>
              <w:keepNext w:val="0"/>
              <w:keepLines w:val="0"/>
              <w:pageBreakBefore w:val="0"/>
              <w:widowControl w:val="0"/>
              <w:kinsoku/>
              <w:wordWrap/>
              <w:overflowPunct/>
              <w:topLinePunct w:val="0"/>
              <w:autoSpaceDE/>
              <w:autoSpaceDN/>
              <w:bidi w:val="0"/>
              <w:adjustRightInd/>
              <w:snapToGrid/>
              <w:spacing w:line="360" w:lineRule="auto"/>
              <w:ind w:firstLine="191" w:firstLineChars="100"/>
              <w:jc w:val="left"/>
              <w:textAlignment w:val="auto"/>
              <w:rPr>
                <w:rFonts w:hint="default"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b/>
                <w:bCs/>
                <w:color w:val="auto"/>
                <w:spacing w:val="-10"/>
                <w:sz w:val="21"/>
                <w:szCs w:val="21"/>
                <w:highlight w:val="none"/>
                <w:lang w:val="en-US" w:eastAsia="zh-CN"/>
              </w:rPr>
              <w:t>培训方式：</w:t>
            </w:r>
            <w:r>
              <w:rPr>
                <w:rFonts w:hint="eastAsia" w:asciiTheme="minorEastAsia" w:hAnsiTheme="minorEastAsia" w:eastAsiaTheme="minorEastAsia" w:cstheme="minorEastAsia"/>
                <w:color w:val="auto"/>
                <w:spacing w:val="-10"/>
                <w:sz w:val="21"/>
                <w:szCs w:val="21"/>
                <w:highlight w:val="none"/>
                <w:lang w:val="en-US" w:eastAsia="zh-CN"/>
              </w:rPr>
              <w:t>培训（21课时）+专家咨询指导（</w:t>
            </w:r>
            <w:r>
              <w:rPr>
                <w:rFonts w:hint="eastAsia" w:asciiTheme="minorEastAsia" w:hAnsiTheme="minorEastAsia" w:eastAsiaTheme="minorEastAsia" w:cstheme="minorEastAsia"/>
                <w:b/>
                <w:bCs/>
                <w:color w:val="auto"/>
                <w:spacing w:val="-10"/>
                <w:sz w:val="21"/>
                <w:szCs w:val="21"/>
                <w:highlight w:val="none"/>
                <w:lang w:val="en-US" w:eastAsia="zh-CN"/>
              </w:rPr>
              <w:t>59</w:t>
            </w:r>
            <w:r>
              <w:rPr>
                <w:rFonts w:hint="eastAsia" w:asciiTheme="minorEastAsia" w:hAnsiTheme="minorEastAsia" w:eastAsiaTheme="minorEastAsia" w:cstheme="minorEastAsia"/>
                <w:color w:val="auto"/>
                <w:spacing w:val="-10"/>
                <w:sz w:val="21"/>
                <w:szCs w:val="21"/>
                <w:highlight w:val="none"/>
                <w:lang w:val="en-US" w:eastAsia="zh-CN"/>
              </w:rPr>
              <w:t>人日）</w:t>
            </w:r>
          </w:p>
        </w:tc>
        <w:tc>
          <w:tcPr>
            <w:tcW w:w="451" w:type="pct"/>
            <w:vAlign w:val="center"/>
          </w:tcPr>
          <w:p w14:paraId="4315509F">
            <w:pPr>
              <w:pStyle w:val="3"/>
              <w:spacing w:before="230" w:line="360" w:lineRule="auto"/>
              <w:jc w:val="center"/>
              <w:rPr>
                <w:rFonts w:hint="default"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21课时</w:t>
            </w:r>
          </w:p>
        </w:tc>
        <w:tc>
          <w:tcPr>
            <w:tcW w:w="558" w:type="pct"/>
            <w:vAlign w:val="center"/>
          </w:tcPr>
          <w:p w14:paraId="2BAD7043">
            <w:pPr>
              <w:pStyle w:val="3"/>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1.培训：21课时</w:t>
            </w:r>
          </w:p>
          <w:p w14:paraId="5A6D1A7B">
            <w:pPr>
              <w:pStyle w:val="3"/>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（每课时提供不少于10分钟视频和5张照片及培训课件。）</w:t>
            </w:r>
          </w:p>
          <w:p w14:paraId="02DB278C">
            <w:pPr>
              <w:pStyle w:val="3"/>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2.专家咨询指导：59人日（线上指导提供录屏视频，邮件、微信指导提供截图）</w:t>
            </w:r>
          </w:p>
          <w:p w14:paraId="6173CC0A">
            <w:pPr>
              <w:pStyle w:val="3"/>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3.形成符合国家级评审标准的教学成果奖申报书及总结报告</w:t>
            </w:r>
          </w:p>
        </w:tc>
        <w:tc>
          <w:tcPr>
            <w:tcW w:w="558" w:type="pct"/>
            <w:vAlign w:val="center"/>
          </w:tcPr>
          <w:p w14:paraId="41985A63">
            <w:pPr>
              <w:pStyle w:val="3"/>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auto"/>
                <w:spacing w:val="3"/>
                <w:sz w:val="21"/>
                <w:szCs w:val="21"/>
                <w:highlight w:val="none"/>
                <w:lang w:val="en-US" w:eastAsia="zh-CN"/>
              </w:rPr>
            </w:pPr>
          </w:p>
        </w:tc>
        <w:tc>
          <w:tcPr>
            <w:tcW w:w="559" w:type="pct"/>
            <w:vAlign w:val="center"/>
          </w:tcPr>
          <w:p w14:paraId="5E0CBEDB">
            <w:pPr>
              <w:pStyle w:val="3"/>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auto"/>
                <w:spacing w:val="3"/>
                <w:sz w:val="21"/>
                <w:szCs w:val="21"/>
                <w:highlight w:val="none"/>
                <w:lang w:val="en-US" w:eastAsia="zh-CN"/>
              </w:rPr>
            </w:pPr>
          </w:p>
        </w:tc>
      </w:tr>
      <w:tr w14:paraId="30C76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4" w:hRule="atLeast"/>
        </w:trPr>
        <w:tc>
          <w:tcPr>
            <w:tcW w:w="918" w:type="pct"/>
            <w:shd w:val="clear" w:color="auto" w:fill="auto"/>
            <w:vAlign w:val="center"/>
          </w:tcPr>
          <w:p w14:paraId="78E6C317">
            <w:pPr>
              <w:pStyle w:val="3"/>
              <w:spacing w:before="227" w:line="360" w:lineRule="auto"/>
              <w:jc w:val="left"/>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2.</w:t>
            </w:r>
            <w:r>
              <w:rPr>
                <w:rFonts w:hint="eastAsia" w:asciiTheme="minorEastAsia" w:hAnsiTheme="minorEastAsia" w:eastAsiaTheme="minorEastAsia" w:cstheme="minorEastAsia"/>
                <w:color w:val="auto"/>
                <w:spacing w:val="-10"/>
                <w:sz w:val="21"/>
                <w:szCs w:val="21"/>
                <w:highlight w:val="none"/>
                <w:lang w:eastAsia="zh-CN"/>
              </w:rPr>
              <w:t>教学科研成果的凝练</w:t>
            </w:r>
            <w:r>
              <w:rPr>
                <w:rFonts w:hint="eastAsia" w:asciiTheme="minorEastAsia" w:hAnsiTheme="minorEastAsia" w:eastAsiaTheme="minorEastAsia" w:cstheme="minorEastAsia"/>
                <w:color w:val="auto"/>
                <w:spacing w:val="-10"/>
                <w:sz w:val="21"/>
                <w:szCs w:val="21"/>
                <w:highlight w:val="none"/>
                <w:lang w:val="en-US" w:eastAsia="zh-CN"/>
              </w:rPr>
              <w:t>与固化、推广咨询指导</w:t>
            </w:r>
          </w:p>
          <w:p w14:paraId="3BB8AE52">
            <w:pPr>
              <w:pStyle w:val="3"/>
              <w:spacing w:before="227" w:line="360" w:lineRule="auto"/>
              <w:jc w:val="left"/>
              <w:rPr>
                <w:rFonts w:hint="eastAsia" w:asciiTheme="minorEastAsia" w:hAnsiTheme="minorEastAsia" w:eastAsiaTheme="minorEastAsia" w:cstheme="minorEastAsia"/>
                <w:color w:val="auto"/>
                <w:sz w:val="21"/>
                <w:szCs w:val="21"/>
                <w:highlight w:val="none"/>
                <w:lang w:val="en-US" w:eastAsia="zh-CN"/>
              </w:rPr>
            </w:pPr>
          </w:p>
        </w:tc>
        <w:tc>
          <w:tcPr>
            <w:tcW w:w="1952" w:type="pct"/>
            <w:shd w:val="clear" w:color="auto" w:fill="auto"/>
            <w:vAlign w:val="top"/>
          </w:tcPr>
          <w:p w14:paraId="702B3DB8">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1.组织专家团队协助编写《畜牧兽医专业群建设理论与实践》专著，专业群教师主笔，投标人协调专家进行指导，在国家一级出版社出版，6个月内完成。</w:t>
            </w:r>
          </w:p>
          <w:p w14:paraId="5384EEB2">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2.组织专家团队协助学校教师成果总结，学校教师提供初步文稿，投标人协调专家进行指导，形成畜牧兽医专业群建设典型案例，并在国家主流媒体（包含《中国教育报》《光明日报》《经济日报》《中国青年报》）进行宣传和推广。</w:t>
            </w:r>
          </w:p>
          <w:p w14:paraId="4C63C605">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default"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3.教学成果应用与推广咨询指导，成果推广至20个学校。</w:t>
            </w:r>
          </w:p>
          <w:p w14:paraId="2C6DE778">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default"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shd w:val="clear"/>
                <w:lang w:val="en-US" w:eastAsia="zh-CN"/>
              </w:rPr>
              <w:t>技术服务时间：65人日</w:t>
            </w:r>
          </w:p>
        </w:tc>
        <w:tc>
          <w:tcPr>
            <w:tcW w:w="451" w:type="pct"/>
            <w:shd w:val="clear" w:color="auto" w:fill="auto"/>
            <w:vAlign w:val="center"/>
          </w:tcPr>
          <w:p w14:paraId="44E834A2">
            <w:pPr>
              <w:pStyle w:val="3"/>
              <w:spacing w:before="227" w:line="360" w:lineRule="auto"/>
              <w:ind w:firstLine="380" w:firstLineChars="200"/>
              <w:jc w:val="both"/>
              <w:rPr>
                <w:rFonts w:hint="default"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65人日</w:t>
            </w:r>
          </w:p>
        </w:tc>
        <w:tc>
          <w:tcPr>
            <w:tcW w:w="558" w:type="pct"/>
            <w:shd w:val="clear" w:color="auto" w:fill="auto"/>
            <w:vAlign w:val="center"/>
          </w:tcPr>
          <w:p w14:paraId="6D0CCD36">
            <w:pPr>
              <w:pStyle w:val="3"/>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1.《畜牧兽医专业群建设理论与实践》专著1部；</w:t>
            </w:r>
          </w:p>
          <w:p w14:paraId="30500ED1">
            <w:pPr>
              <w:pStyle w:val="3"/>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2.专业群建设典型案例在国家主流媒体报道1篇；</w:t>
            </w:r>
          </w:p>
          <w:p w14:paraId="1AF6EE86">
            <w:pPr>
              <w:pStyle w:val="3"/>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3.</w:t>
            </w:r>
            <w:r>
              <w:rPr>
                <w:rFonts w:hint="eastAsia" w:asciiTheme="minorEastAsia" w:hAnsiTheme="minorEastAsia" w:eastAsiaTheme="minorEastAsia" w:cstheme="minorEastAsia"/>
                <w:color w:val="auto"/>
                <w:spacing w:val="-10"/>
                <w:sz w:val="21"/>
                <w:szCs w:val="21"/>
                <w:highlight w:val="none"/>
                <w:shd w:val="clear" w:color="auto" w:fill="auto"/>
                <w:lang w:val="en-US" w:eastAsia="zh-CN"/>
              </w:rPr>
              <w:t>应用推广到15所院校</w:t>
            </w:r>
            <w:r>
              <w:rPr>
                <w:rFonts w:hint="eastAsia" w:asciiTheme="minorEastAsia" w:hAnsiTheme="minorEastAsia" w:eastAsiaTheme="minorEastAsia" w:cstheme="minorEastAsia"/>
                <w:color w:val="auto"/>
                <w:spacing w:val="-10"/>
                <w:sz w:val="21"/>
                <w:szCs w:val="21"/>
                <w:highlight w:val="none"/>
                <w:lang w:val="en-US" w:eastAsia="zh-CN"/>
              </w:rPr>
              <w:t>。</w:t>
            </w:r>
          </w:p>
          <w:p w14:paraId="6670316D">
            <w:pPr>
              <w:pStyle w:val="3"/>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stheme="minorEastAsia"/>
                <w:color w:val="auto"/>
                <w:spacing w:val="-10"/>
                <w:sz w:val="21"/>
                <w:szCs w:val="21"/>
                <w:highlight w:val="none"/>
                <w:lang w:val="en-US" w:eastAsia="zh-CN"/>
              </w:rPr>
            </w:pPr>
          </w:p>
        </w:tc>
        <w:tc>
          <w:tcPr>
            <w:tcW w:w="558" w:type="pct"/>
            <w:shd w:val="clear" w:color="auto" w:fill="auto"/>
            <w:vAlign w:val="center"/>
          </w:tcPr>
          <w:p w14:paraId="06ED046F">
            <w:pPr>
              <w:pStyle w:val="3"/>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stheme="minorEastAsia"/>
                <w:color w:val="auto"/>
                <w:spacing w:val="-10"/>
                <w:sz w:val="21"/>
                <w:szCs w:val="21"/>
                <w:highlight w:val="none"/>
                <w:lang w:val="en-US" w:eastAsia="zh-CN"/>
              </w:rPr>
            </w:pPr>
          </w:p>
        </w:tc>
        <w:tc>
          <w:tcPr>
            <w:tcW w:w="559" w:type="pct"/>
            <w:shd w:val="clear" w:color="auto" w:fill="auto"/>
            <w:vAlign w:val="center"/>
          </w:tcPr>
          <w:p w14:paraId="74116F24">
            <w:pPr>
              <w:pStyle w:val="3"/>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stheme="minorEastAsia"/>
                <w:color w:val="auto"/>
                <w:spacing w:val="-10"/>
                <w:sz w:val="21"/>
                <w:szCs w:val="21"/>
                <w:highlight w:val="none"/>
                <w:lang w:val="en-US" w:eastAsia="zh-CN"/>
              </w:rPr>
            </w:pPr>
          </w:p>
        </w:tc>
      </w:tr>
      <w:tr w14:paraId="7811E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918" w:type="pct"/>
            <w:shd w:val="clear" w:color="auto" w:fill="auto"/>
            <w:vAlign w:val="center"/>
          </w:tcPr>
          <w:p w14:paraId="2D1D651F">
            <w:pPr>
              <w:pStyle w:val="3"/>
              <w:spacing w:before="230" w:line="360" w:lineRule="auto"/>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w:t>
            </w:r>
            <w:r>
              <w:rPr>
                <w:rFonts w:hint="eastAsia" w:asciiTheme="minorEastAsia" w:hAnsiTheme="minorEastAsia" w:eastAsiaTheme="minorEastAsia" w:cstheme="minorEastAsia"/>
                <w:color w:val="auto"/>
                <w:spacing w:val="3"/>
                <w:sz w:val="21"/>
                <w:szCs w:val="21"/>
                <w:highlight w:val="none"/>
              </w:rPr>
              <w:t>信息化数据</w:t>
            </w:r>
            <w:r>
              <w:rPr>
                <w:rFonts w:hint="eastAsia" w:asciiTheme="minorEastAsia" w:hAnsiTheme="minorEastAsia" w:eastAsiaTheme="minorEastAsia" w:cstheme="minorEastAsia"/>
                <w:color w:val="auto"/>
                <w:spacing w:val="3"/>
                <w:sz w:val="21"/>
                <w:szCs w:val="21"/>
                <w:highlight w:val="none"/>
                <w:lang w:val="en-US" w:eastAsia="zh-CN"/>
              </w:rPr>
              <w:t>分析服务</w:t>
            </w:r>
          </w:p>
          <w:p w14:paraId="2FE67F3A">
            <w:pPr>
              <w:spacing w:line="360" w:lineRule="auto"/>
              <w:jc w:val="left"/>
              <w:rPr>
                <w:rFonts w:hint="eastAsia" w:asciiTheme="minorEastAsia" w:hAnsiTheme="minorEastAsia" w:eastAsiaTheme="minorEastAsia" w:cstheme="minorEastAsia"/>
                <w:color w:val="auto"/>
                <w:sz w:val="21"/>
                <w:szCs w:val="21"/>
                <w:highlight w:val="none"/>
                <w:lang w:val="en-US" w:eastAsia="zh-CN"/>
              </w:rPr>
            </w:pPr>
          </w:p>
        </w:tc>
        <w:tc>
          <w:tcPr>
            <w:tcW w:w="1952" w:type="pct"/>
            <w:shd w:val="clear" w:color="auto" w:fill="auto"/>
            <w:vAlign w:val="top"/>
          </w:tcPr>
          <w:p w14:paraId="086D17A0">
            <w:pPr>
              <w:keepNext w:val="0"/>
              <w:keepLines w:val="0"/>
              <w:pageBreakBefore w:val="0"/>
              <w:widowControl/>
              <w:kinsoku/>
              <w:wordWrap/>
              <w:overflowPunct/>
              <w:topLinePunct w:val="0"/>
              <w:autoSpaceDE/>
              <w:autoSpaceDN/>
              <w:bidi w:val="0"/>
              <w:adjustRightInd/>
              <w:snapToGrid/>
              <w:spacing w:line="288" w:lineRule="auto"/>
              <w:ind w:firstLine="380" w:firstLineChars="200"/>
              <w:textAlignment w:val="auto"/>
              <w:rPr>
                <w:rFonts w:hint="eastAsia" w:asciiTheme="minorEastAsia" w:hAnsiTheme="minorEastAsia" w:eastAsiaTheme="minorEastAsia" w:cstheme="minorEastAsia"/>
                <w:color w:val="auto"/>
                <w:spacing w:val="-10"/>
                <w:kern w:val="2"/>
                <w:sz w:val="21"/>
                <w:szCs w:val="21"/>
                <w:highlight w:val="none"/>
                <w:lang w:val="en-US" w:eastAsia="zh-CN" w:bidi="ar-SA"/>
              </w:rPr>
            </w:pPr>
            <w:r>
              <w:rPr>
                <w:rFonts w:hint="eastAsia" w:asciiTheme="minorEastAsia" w:hAnsiTheme="minorEastAsia" w:eastAsiaTheme="minorEastAsia" w:cstheme="minorEastAsia"/>
                <w:color w:val="auto"/>
                <w:spacing w:val="-10"/>
                <w:kern w:val="2"/>
                <w:sz w:val="21"/>
                <w:szCs w:val="21"/>
                <w:highlight w:val="none"/>
                <w:lang w:val="en-US" w:eastAsia="zh-CN" w:bidi="ar-SA"/>
              </w:rPr>
              <w:t>提供“学生职业素养评估系统”（包含总体评估结果、职业理想素养分析、职业人格素养分析、职业意识素养分析、职业核心能力素养分析、职业关键能力素养分析、整体学业成绩分析、公共基础课成绩分析、思政课成绩分析、专业课成绩分析、实习实训项目分析等内容），“教师教科研评估系统”（包含总体评估结果、社会服务、科研成果、发表论文、科研课题、著作、专利、标准开发、规划方案、案例、教学评价、教学成果、师德师风、竞赛、教材、课程建设、基地建设等方面），“专业群社会服务评估系统”（包含总体服务成效评估结果、乡村振兴体系构建成效分析、“一体两翼”建设成效分析、校企合作成效分析、服务中小微企业成效分析、职业技能培训成效分析、技术服务成效分析、职业关键能力素养分析、服务反馈与持续改进机制运行分析）。支持2016-2025年教师教学质量数据、学生职业素养数据、社会服务体系建设数据的结构化录入、问题发现与成因分析及改进建议，生成11份分析报告（含趋势图、对比表）。工作时间要求90日内完成所有数据分析。</w:t>
            </w:r>
          </w:p>
          <w:p w14:paraId="5853AC28">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shd w:val="clear"/>
                <w:lang w:val="en-US" w:eastAsia="zh-CN"/>
              </w:rPr>
            </w:pPr>
            <w:r>
              <w:rPr>
                <w:rFonts w:hint="eastAsia" w:asciiTheme="minorEastAsia" w:hAnsiTheme="minorEastAsia" w:eastAsiaTheme="minorEastAsia" w:cstheme="minorEastAsia"/>
                <w:color w:val="auto"/>
                <w:spacing w:val="-10"/>
                <w:kern w:val="2"/>
                <w:sz w:val="21"/>
                <w:szCs w:val="21"/>
                <w:highlight w:val="none"/>
                <w:lang w:val="en-US" w:eastAsia="zh-CN" w:bidi="ar-SA"/>
              </w:rPr>
              <w:t>技术服务时间：120人日</w:t>
            </w:r>
          </w:p>
        </w:tc>
        <w:tc>
          <w:tcPr>
            <w:tcW w:w="451" w:type="pct"/>
            <w:vAlign w:val="center"/>
          </w:tcPr>
          <w:p w14:paraId="46869583">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11</w:t>
            </w:r>
            <w:r>
              <w:rPr>
                <w:rFonts w:hint="eastAsia" w:asciiTheme="minorEastAsia" w:hAnsiTheme="minorEastAsia" w:eastAsiaTheme="minorEastAsia" w:cstheme="minorEastAsia"/>
                <w:color w:val="auto"/>
                <w:sz w:val="21"/>
                <w:szCs w:val="21"/>
                <w:highlight w:val="none"/>
                <w:lang w:val="en-US" w:eastAsia="zh-CN"/>
              </w:rPr>
              <w:t>份</w:t>
            </w:r>
          </w:p>
        </w:tc>
        <w:tc>
          <w:tcPr>
            <w:tcW w:w="558" w:type="pct"/>
            <w:vAlign w:val="center"/>
          </w:tcPr>
          <w:p w14:paraId="3B09B578">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11份数据分析报告</w:t>
            </w:r>
          </w:p>
        </w:tc>
        <w:tc>
          <w:tcPr>
            <w:tcW w:w="558" w:type="pct"/>
            <w:vAlign w:val="center"/>
          </w:tcPr>
          <w:p w14:paraId="0EABC3CD">
            <w:pPr>
              <w:spacing w:line="360" w:lineRule="auto"/>
              <w:jc w:val="center"/>
              <w:rPr>
                <w:rFonts w:hint="eastAsia" w:asciiTheme="minorEastAsia" w:hAnsiTheme="minorEastAsia" w:cstheme="minorEastAsia"/>
                <w:color w:val="auto"/>
                <w:sz w:val="21"/>
                <w:szCs w:val="21"/>
                <w:highlight w:val="none"/>
                <w:lang w:val="en-US" w:eastAsia="zh-CN"/>
              </w:rPr>
            </w:pPr>
          </w:p>
        </w:tc>
        <w:tc>
          <w:tcPr>
            <w:tcW w:w="559" w:type="pct"/>
            <w:vAlign w:val="center"/>
          </w:tcPr>
          <w:p w14:paraId="1C9B57CA">
            <w:pPr>
              <w:spacing w:line="360" w:lineRule="auto"/>
              <w:jc w:val="center"/>
              <w:rPr>
                <w:rFonts w:hint="eastAsia" w:asciiTheme="minorEastAsia" w:hAnsiTheme="minorEastAsia" w:cstheme="minorEastAsia"/>
                <w:color w:val="auto"/>
                <w:sz w:val="21"/>
                <w:szCs w:val="21"/>
                <w:highlight w:val="none"/>
                <w:lang w:val="en-US" w:eastAsia="zh-CN"/>
              </w:rPr>
            </w:pPr>
          </w:p>
        </w:tc>
      </w:tr>
      <w:tr w14:paraId="33420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8" w:hRule="atLeast"/>
        </w:trPr>
        <w:tc>
          <w:tcPr>
            <w:tcW w:w="918" w:type="pct"/>
            <w:shd w:val="clear" w:color="auto" w:fill="auto"/>
            <w:vAlign w:val="center"/>
          </w:tcPr>
          <w:p w14:paraId="1C079C36">
            <w:pPr>
              <w:pStyle w:val="3"/>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5、视频和网站的拍摄与制作</w:t>
            </w:r>
          </w:p>
        </w:tc>
        <w:tc>
          <w:tcPr>
            <w:tcW w:w="1952" w:type="pct"/>
            <w:shd w:val="clear" w:color="auto" w:fill="auto"/>
            <w:vAlign w:val="top"/>
          </w:tcPr>
          <w:p w14:paraId="3B8C068C">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提供教学成果奖所需的视频拍摄、制作和网站的制作服务：</w:t>
            </w:r>
          </w:p>
          <w:p w14:paraId="6842C87A">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en-US"/>
              </w:rPr>
            </w:pPr>
            <w:r>
              <w:rPr>
                <w:rFonts w:hint="eastAsia" w:asciiTheme="minorEastAsia" w:hAnsiTheme="minorEastAsia" w:eastAsiaTheme="minorEastAsia" w:cstheme="minorEastAsia"/>
                <w:color w:val="auto"/>
                <w:spacing w:val="-10"/>
                <w:sz w:val="21"/>
                <w:szCs w:val="21"/>
                <w:highlight w:val="none"/>
                <w:lang w:val="en-US" w:eastAsia="zh-CN"/>
              </w:rPr>
              <w:t>1、教学成果奖网站的设计与制作；</w:t>
            </w:r>
          </w:p>
          <w:p w14:paraId="071851B7">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en-US"/>
              </w:rPr>
            </w:pPr>
            <w:r>
              <w:rPr>
                <w:rFonts w:hint="eastAsia" w:asciiTheme="minorEastAsia" w:hAnsiTheme="minorEastAsia" w:eastAsiaTheme="minorEastAsia" w:cstheme="minorEastAsia"/>
                <w:color w:val="auto"/>
                <w:spacing w:val="-10"/>
                <w:sz w:val="21"/>
                <w:szCs w:val="21"/>
                <w:highlight w:val="none"/>
                <w:lang w:val="en-US" w:eastAsia="zh-CN"/>
              </w:rPr>
              <w:t>2、教学成果表述优化与可视化服务；</w:t>
            </w:r>
          </w:p>
          <w:p w14:paraId="071B9BE8">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zh-CN"/>
              </w:rPr>
            </w:pPr>
            <w:r>
              <w:rPr>
                <w:rFonts w:hint="eastAsia" w:asciiTheme="minorEastAsia" w:hAnsiTheme="minorEastAsia" w:eastAsiaTheme="minorEastAsia" w:cstheme="minorEastAsia"/>
                <w:color w:val="auto"/>
                <w:spacing w:val="-10"/>
                <w:sz w:val="21"/>
                <w:szCs w:val="21"/>
                <w:highlight w:val="none"/>
                <w:lang w:val="en-US" w:eastAsia="zh-CN"/>
              </w:rPr>
              <w:t>3、教学成果奖视频制作；</w:t>
            </w:r>
          </w:p>
          <w:p w14:paraId="75235CD7">
            <w:pPr>
              <w:pStyle w:val="3"/>
              <w:keepNext w:val="0"/>
              <w:keepLines w:val="0"/>
              <w:pageBreakBefore w:val="0"/>
              <w:widowControl w:val="0"/>
              <w:kinsoku/>
              <w:wordWrap/>
              <w:overflowPunct/>
              <w:topLinePunct w:val="0"/>
              <w:autoSpaceDE/>
              <w:autoSpaceDN/>
              <w:bidi w:val="0"/>
              <w:adjustRightInd/>
              <w:snapToGrid/>
              <w:spacing w:line="360" w:lineRule="auto"/>
              <w:ind w:firstLine="380" w:firstLineChars="200"/>
              <w:jc w:val="left"/>
              <w:textAlignment w:val="auto"/>
              <w:rPr>
                <w:rFonts w:hint="eastAsia" w:asciiTheme="minorEastAsia" w:hAnsiTheme="minorEastAsia" w:eastAsiaTheme="minorEastAsia" w:cstheme="minorEastAsia"/>
                <w:color w:val="auto"/>
                <w:spacing w:val="-10"/>
                <w:sz w:val="21"/>
                <w:szCs w:val="21"/>
                <w:highlight w:val="none"/>
                <w:lang w:val="en-US" w:eastAsia="en-US"/>
              </w:rPr>
            </w:pPr>
            <w:r>
              <w:rPr>
                <w:rFonts w:hint="eastAsia" w:asciiTheme="minorEastAsia" w:hAnsiTheme="minorEastAsia" w:eastAsiaTheme="minorEastAsia" w:cstheme="minorEastAsia"/>
                <w:color w:val="auto"/>
                <w:spacing w:val="-10"/>
                <w:sz w:val="21"/>
                <w:szCs w:val="21"/>
                <w:highlight w:val="none"/>
                <w:shd w:val="clear"/>
                <w:lang w:val="en-US" w:eastAsia="zh-CN"/>
              </w:rPr>
              <w:t>技术服务时间：60人日</w:t>
            </w:r>
          </w:p>
        </w:tc>
        <w:tc>
          <w:tcPr>
            <w:tcW w:w="451" w:type="pct"/>
            <w:vAlign w:val="center"/>
          </w:tcPr>
          <w:p w14:paraId="79EC847C">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1套</w:t>
            </w:r>
          </w:p>
        </w:tc>
        <w:tc>
          <w:tcPr>
            <w:tcW w:w="558" w:type="pct"/>
            <w:vAlign w:val="center"/>
          </w:tcPr>
          <w:p w14:paraId="0443262C">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1.达到</w:t>
            </w:r>
            <w:r>
              <w:rPr>
                <w:rFonts w:hint="eastAsia" w:ascii="宋体" w:hAnsi="宋体" w:eastAsia="宋体" w:cs="宋体"/>
                <w:color w:val="auto"/>
                <w:kern w:val="2"/>
                <w:sz w:val="21"/>
                <w:szCs w:val="21"/>
                <w:highlight w:val="none"/>
                <w:lang w:val="en-US" w:eastAsia="zh-CN" w:bidi="ar-SA"/>
              </w:rPr>
              <w:t>符合国家级教学成果奖评审标准的</w:t>
            </w:r>
            <w:r>
              <w:rPr>
                <w:rFonts w:hint="eastAsia" w:ascii="宋体" w:hAnsi="宋体" w:eastAsia="宋体" w:cs="宋体"/>
                <w:color w:val="auto"/>
                <w:sz w:val="21"/>
                <w:szCs w:val="21"/>
                <w:highlight w:val="none"/>
                <w:lang w:val="en-US" w:eastAsia="zh-CN"/>
              </w:rPr>
              <w:t>网站1个</w:t>
            </w:r>
          </w:p>
          <w:p w14:paraId="3C322828">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2.包含教师教科研、学生综合素质、社会服务三个维度的可视化数据平台1个，</w:t>
            </w:r>
          </w:p>
          <w:p w14:paraId="5BAEC30F">
            <w:pPr>
              <w:spacing w:line="360" w:lineRule="auto"/>
              <w:jc w:val="center"/>
              <w:rPr>
                <w:rFonts w:hint="default" w:asciiTheme="minorEastAsia" w:hAnsi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3.根据申报需求录制视频若干。</w:t>
            </w:r>
          </w:p>
        </w:tc>
        <w:tc>
          <w:tcPr>
            <w:tcW w:w="558" w:type="pct"/>
            <w:vAlign w:val="center"/>
          </w:tcPr>
          <w:p w14:paraId="48750F6E">
            <w:pPr>
              <w:spacing w:line="360" w:lineRule="auto"/>
              <w:jc w:val="center"/>
              <w:rPr>
                <w:rFonts w:hint="eastAsia" w:ascii="宋体" w:hAnsi="宋体" w:eastAsia="宋体" w:cs="宋体"/>
                <w:color w:val="auto"/>
                <w:sz w:val="21"/>
                <w:szCs w:val="21"/>
                <w:highlight w:val="none"/>
                <w:lang w:val="en-US" w:eastAsia="zh-CN"/>
              </w:rPr>
            </w:pPr>
          </w:p>
        </w:tc>
        <w:tc>
          <w:tcPr>
            <w:tcW w:w="559" w:type="pct"/>
            <w:vAlign w:val="center"/>
          </w:tcPr>
          <w:p w14:paraId="7C97B345">
            <w:pPr>
              <w:spacing w:line="360" w:lineRule="auto"/>
              <w:jc w:val="center"/>
              <w:rPr>
                <w:rFonts w:hint="eastAsia" w:ascii="宋体" w:hAnsi="宋体" w:eastAsia="宋体" w:cs="宋体"/>
                <w:color w:val="auto"/>
                <w:sz w:val="21"/>
                <w:szCs w:val="21"/>
                <w:highlight w:val="none"/>
                <w:lang w:val="en-US" w:eastAsia="zh-CN"/>
              </w:rPr>
            </w:pPr>
          </w:p>
        </w:tc>
      </w:tr>
      <w:tr w14:paraId="2A3D0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8" w:hRule="atLeast"/>
        </w:trPr>
        <w:tc>
          <w:tcPr>
            <w:tcW w:w="5000" w:type="pct"/>
            <w:gridSpan w:val="6"/>
            <w:shd w:val="clear" w:color="auto" w:fill="auto"/>
            <w:vAlign w:val="center"/>
          </w:tcPr>
          <w:p w14:paraId="784C70F5">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合计金额：</w:t>
            </w:r>
          </w:p>
        </w:tc>
      </w:tr>
    </w:tbl>
    <w:p w14:paraId="57E2F82F">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p>
    <w:p w14:paraId="272F9C66">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供应商需要围绕学校提出的项目需求模块，进行详细的培训方案设计，包含拟聘请专家名录，提供培训参考资料及数字化资源。</w:t>
      </w:r>
    </w:p>
    <w:p w14:paraId="30701F01">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2.4培训人员要求</w:t>
      </w:r>
    </w:p>
    <w:p w14:paraId="3273F15A">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①供应商应有能力组织国内职业院校教学成果奖的专家评委参与培训，此专家团队有能力为职业教育教学成果奖项目专门设计体验教学和实践教学的教学内容，同时授课团队需要有职业教育师资培训的教学经验，人数不少于3人。</w:t>
      </w:r>
    </w:p>
    <w:p w14:paraId="629B42BF">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②上述培训专家，供应商提供详细专家介绍，并提供之前培训案例中对应的课程表或授课 PPT或教案等其他相关材料加盖投标人公章。</w:t>
      </w:r>
    </w:p>
    <w:p w14:paraId="68AA15E3">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default" w:ascii="Calibri" w:hAnsi="Calibri" w:eastAsia="宋体" w:cs="Calibri"/>
          <w:color w:val="0D0D0D" w:themeColor="text1" w:themeTint="F2"/>
          <w:sz w:val="24"/>
          <w:szCs w:val="24"/>
          <w:highlight w:val="none"/>
          <w:lang w:val="en-US" w:eastAsia="zh-CN"/>
          <w14:textFill>
            <w14:solidFill>
              <w14:schemeClr w14:val="tx1">
                <w14:lumMod w14:val="95000"/>
                <w14:lumOff w14:val="5000"/>
              </w14:schemeClr>
            </w14:solidFill>
          </w14:textFill>
        </w:rPr>
        <w:t>③</w:t>
      </w: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部分专题讲座，学校可根据项目实际情况要求讲师为国内外专家学者，双方协商邀请。采购人可以根据学校当期发展的需要，与成交供应商协商调整变更讲座主题。</w:t>
      </w:r>
    </w:p>
    <w:p w14:paraId="5F0025B6">
      <w:pPr>
        <w:pStyle w:val="8"/>
        <w:spacing w:line="360" w:lineRule="auto"/>
        <w:rPr>
          <w:rFonts w:hint="default" w:ascii="Calibri" w:hAnsi="Calibri" w:eastAsia="宋体" w:cs="Calibri"/>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Calibri" w:hAnsi="Calibri" w:eastAsia="宋体" w:cs="Calibri"/>
          <w:color w:val="0D0D0D" w:themeColor="text1" w:themeTint="F2"/>
          <w:sz w:val="24"/>
          <w:szCs w:val="24"/>
          <w:highlight w:val="none"/>
          <w:lang w:val="en-US" w:eastAsia="zh-CN"/>
          <w14:textFill>
            <w14:solidFill>
              <w14:schemeClr w14:val="tx1">
                <w14:lumMod w14:val="95000"/>
                <w14:lumOff w14:val="5000"/>
              </w14:schemeClr>
            </w14:solidFill>
          </w14:textFill>
        </w:rPr>
        <w:t>④售后服务课时（在线），特指在2026年国家级教学成果奖申报之前，中标人需要随时响应学校的需求，组织专家给参赛团队提供专家咨询服务。</w:t>
      </w:r>
    </w:p>
    <w:p w14:paraId="16DB1E59">
      <w:pPr>
        <w:pStyle w:val="8"/>
        <w:spacing w:line="360" w:lineRule="auto"/>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lang w:val="en-US" w:eastAsia="zh-CN"/>
          <w14:textFill>
            <w14:solidFill>
              <w14:schemeClr w14:val="tx1">
                <w14:lumMod w14:val="95000"/>
                <w14:lumOff w14:val="5000"/>
              </w14:schemeClr>
            </w14:solidFill>
          </w14:textFill>
        </w:rPr>
        <w:t>2.5工作中涉及的敏感资料、电子数据等相关信息，中标投标人应严格执行保密的相关规定，不得以任何方式向任何第三人披露、泄露或许可第三人使用，否则追究其相应法律责任。</w:t>
      </w:r>
    </w:p>
    <w:p w14:paraId="04CDADF4">
      <w:pPr>
        <w:rPr>
          <w:rFonts w:hint="eastAsia" w:ascii="宋体" w:hAnsi="宋体" w:eastAsia="宋体" w:cs="宋体"/>
          <w:color w:val="0D0D0D" w:themeColor="text1" w:themeTint="F2"/>
          <w:sz w:val="24"/>
          <w:szCs w:val="24"/>
          <w:highlight w:val="none"/>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highlight w:val="none"/>
          <w14:textFill>
            <w14:solidFill>
              <w14:schemeClr w14:val="tx1">
                <w14:lumMod w14:val="95000"/>
                <w14:lumOff w14:val="5000"/>
              </w14:schemeClr>
            </w14:solidFill>
          </w14:textFill>
        </w:rPr>
        <w:t> </w:t>
      </w:r>
    </w:p>
    <w:p w14:paraId="12AFB5BA">
      <w:pPr>
        <w:rPr>
          <w:rFonts w:hint="eastAsia"/>
          <w:color w:val="0D0D0D" w:themeColor="text1" w:themeTint="F2"/>
          <w:sz w:val="28"/>
          <w:szCs w:val="28"/>
          <w:highlight w:val="none"/>
          <w14:textFill>
            <w14:solidFill>
              <w14:schemeClr w14:val="tx1">
                <w14:lumMod w14:val="95000"/>
                <w14:lumOff w14:val="5000"/>
              </w14:schemeClr>
            </w14:solidFill>
          </w14:textFill>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682C76"/>
    <w:rsid w:val="0089189B"/>
    <w:rsid w:val="019718AD"/>
    <w:rsid w:val="020B07BA"/>
    <w:rsid w:val="052830AC"/>
    <w:rsid w:val="07D653C6"/>
    <w:rsid w:val="08CF6A24"/>
    <w:rsid w:val="0923288D"/>
    <w:rsid w:val="0A4C7BC2"/>
    <w:rsid w:val="10EF74F9"/>
    <w:rsid w:val="12541D09"/>
    <w:rsid w:val="17ED2C1C"/>
    <w:rsid w:val="18194181"/>
    <w:rsid w:val="19622F5E"/>
    <w:rsid w:val="19AA220F"/>
    <w:rsid w:val="1BF956CF"/>
    <w:rsid w:val="1D517B25"/>
    <w:rsid w:val="20370574"/>
    <w:rsid w:val="225E2F3C"/>
    <w:rsid w:val="23137077"/>
    <w:rsid w:val="233F7E6C"/>
    <w:rsid w:val="243674C1"/>
    <w:rsid w:val="248F6BD1"/>
    <w:rsid w:val="26E70FB7"/>
    <w:rsid w:val="27321A96"/>
    <w:rsid w:val="280B47C0"/>
    <w:rsid w:val="28BE5CD7"/>
    <w:rsid w:val="29EB2AFB"/>
    <w:rsid w:val="2A8E1323"/>
    <w:rsid w:val="2A9A1E2C"/>
    <w:rsid w:val="2C7A1F15"/>
    <w:rsid w:val="2DF06932"/>
    <w:rsid w:val="2E786928"/>
    <w:rsid w:val="2ECB6A58"/>
    <w:rsid w:val="309E100E"/>
    <w:rsid w:val="34FF56AD"/>
    <w:rsid w:val="353436DA"/>
    <w:rsid w:val="355D793B"/>
    <w:rsid w:val="36B349A1"/>
    <w:rsid w:val="36E56B24"/>
    <w:rsid w:val="3732128A"/>
    <w:rsid w:val="384C6E5B"/>
    <w:rsid w:val="386341A5"/>
    <w:rsid w:val="3ACD1DA9"/>
    <w:rsid w:val="3ACD6C2A"/>
    <w:rsid w:val="3D9C70A6"/>
    <w:rsid w:val="3DFC5592"/>
    <w:rsid w:val="3EC338A7"/>
    <w:rsid w:val="3EC55920"/>
    <w:rsid w:val="3F7D6FC9"/>
    <w:rsid w:val="3FE21E53"/>
    <w:rsid w:val="40E83499"/>
    <w:rsid w:val="42075C56"/>
    <w:rsid w:val="421A644B"/>
    <w:rsid w:val="422E137F"/>
    <w:rsid w:val="43EF0FE2"/>
    <w:rsid w:val="44035C76"/>
    <w:rsid w:val="458806A5"/>
    <w:rsid w:val="4689127A"/>
    <w:rsid w:val="46D83FB0"/>
    <w:rsid w:val="48DB38E3"/>
    <w:rsid w:val="4B645E12"/>
    <w:rsid w:val="4BD234B7"/>
    <w:rsid w:val="4BE87DC5"/>
    <w:rsid w:val="4CF80D9B"/>
    <w:rsid w:val="50016325"/>
    <w:rsid w:val="51C92546"/>
    <w:rsid w:val="54682C76"/>
    <w:rsid w:val="5AA739D6"/>
    <w:rsid w:val="5B353327"/>
    <w:rsid w:val="5B967687"/>
    <w:rsid w:val="5C8210D4"/>
    <w:rsid w:val="5CF80AB0"/>
    <w:rsid w:val="602E6DC5"/>
    <w:rsid w:val="613C6C6F"/>
    <w:rsid w:val="65A74E21"/>
    <w:rsid w:val="669C06FE"/>
    <w:rsid w:val="66E0596B"/>
    <w:rsid w:val="67753429"/>
    <w:rsid w:val="680E73DA"/>
    <w:rsid w:val="68403B19"/>
    <w:rsid w:val="6ABA2F28"/>
    <w:rsid w:val="6ABC136F"/>
    <w:rsid w:val="6AE0342C"/>
    <w:rsid w:val="6B403D4E"/>
    <w:rsid w:val="6C954C91"/>
    <w:rsid w:val="6D7D4DE5"/>
    <w:rsid w:val="6DAD4F9F"/>
    <w:rsid w:val="7164383E"/>
    <w:rsid w:val="71662034"/>
    <w:rsid w:val="724F2E6D"/>
    <w:rsid w:val="72D80D10"/>
    <w:rsid w:val="73B2656E"/>
    <w:rsid w:val="742C30C1"/>
    <w:rsid w:val="75DD4237"/>
    <w:rsid w:val="764A5CF3"/>
    <w:rsid w:val="771F0CBB"/>
    <w:rsid w:val="77420063"/>
    <w:rsid w:val="79DE00CB"/>
    <w:rsid w:val="7BD6AD7A"/>
    <w:rsid w:val="7C6715D0"/>
    <w:rsid w:val="7EFFE48A"/>
    <w:rsid w:val="7F0A04A3"/>
    <w:rsid w:val="7F7BDAFE"/>
    <w:rsid w:val="7FF32825"/>
    <w:rsid w:val="7FFFDBB8"/>
    <w:rsid w:val="AF6D1072"/>
    <w:rsid w:val="BFD71B08"/>
    <w:rsid w:val="BFFF0FBE"/>
    <w:rsid w:val="DFAFE5E3"/>
    <w:rsid w:val="EF957E77"/>
    <w:rsid w:val="FBED6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28"/>
      <w:szCs w:val="2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Paragraph"/>
    <w:basedOn w:val="1"/>
    <w:qFormat/>
    <w:uiPriority w:val="34"/>
    <w:pPr>
      <w:ind w:firstLine="420" w:firstLineChars="200"/>
    </w:p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微软雅黑" w:hAnsi="微软雅黑" w:eastAsia="微软雅黑" w:cs="微软雅黑"/>
      <w:sz w:val="24"/>
      <w:szCs w:val="24"/>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2356</Words>
  <Characters>2428</Characters>
  <Lines>0</Lines>
  <Paragraphs>0</Paragraphs>
  <TotalTime>2</TotalTime>
  <ScaleCrop>false</ScaleCrop>
  <LinksUpToDate>false</LinksUpToDate>
  <CharactersWithSpaces>2435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2025-08-25T18:48:00Z</dcterms:created>
  <dc:creator>A朱正兵</dc:creator>
  <cp:lastModifiedBy>胖丫～宇</cp:lastModifiedBy>
  <dcterms:modified xsi:type="dcterms:W3CDTF">2025-10-09T03:10:46Z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4518F72E3EE54026AAC1D62068AC6A86_13</vt:lpwstr>
  </property>
  <property fmtid="{D5CDD505-2E9C-101B-9397-08002B2CF9AE}" pid="4" name="KSOTemplateDocerSaveRecord">
    <vt:lpwstr>eyJoZGlkIjoiYTQyODcxN2E5OTlhYTNjZDkwNDAzODViMGFlZGM2NWQiLCJ1c2VySWQiOiI5MDYxOTIwMzQifQ==</vt:lpwstr>
  </property>
</Properties>
</file>