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/>
    </w:p>
    <w:tbl>
      <w:tblPr>
        <w:tblStyle w:val="by632n"/>
        <w:tblW w:w="8306" w:type="dxa"/>
        <w:jc w:val="center"/>
        <w:tblInd w:w="0" w:type="dxa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</w:tblPr>
      <w:tblGrid>
        <w:gridCol w:w="480"/>
        <w:gridCol w:w="1080"/>
        <w:gridCol w:w="5000"/>
        <w:gridCol w:w="646"/>
        <w:gridCol w:w="480"/>
        <w:gridCol w:w="620"/>
      </w:tblGrid>
      <w:tr>
        <w:trPr/>
        <w:tc>
          <w:tcPr>
            <w:tcW w:w="480" w:type="dxa"/>
            <w:shd w:val="clear" w:fill="DCE6F1"/>
            <w:vAlign w:val="center"/>
          </w:tcPr>
          <w:p w14:paraId="5380078B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项目名称</w:t>
            </w:r>
          </w:p>
        </w:tc>
        <w:tc>
          <w:tcPr>
            <w:tcW w:w="7826" w:type="dxa"/>
            <w:gridSpan w:val="5"/>
            <w:shd w:val="clear" w:fill="DCE6F1"/>
            <w:vAlign w:val="center"/>
          </w:tcPr>
          <w:p w14:paraId="6C5925BD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4"/>
              </w:rPr>
              <w:t>养猪与猪病防控技术课程及数字教材建设项目</w:t>
            </w:r>
          </w:p>
        </w:tc>
      </w:tr>
      <w:tr>
        <w:trPr/>
        <w:tc>
          <w:tcPr>
            <w:tcW w:w="480" w:type="dxa"/>
            <w:shd w:val="clear" w:fill="DCE6F1"/>
            <w:vAlign w:val="center"/>
          </w:tcPr>
          <w:p w14:paraId="034B29CC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序号</w:t>
            </w:r>
          </w:p>
        </w:tc>
        <w:tc>
          <w:tcPr>
            <w:tcW w:w="1080" w:type="dxa"/>
            <w:shd w:val="clear" w:fill="DCE6F1"/>
            <w:vAlign w:val="center"/>
          </w:tcPr>
          <w:p w14:paraId="38B3BC43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产品名称</w:t>
            </w:r>
          </w:p>
        </w:tc>
        <w:tc>
          <w:tcPr>
            <w:tcW w:w="5000" w:type="dxa"/>
            <w:shd w:val="clear" w:fill="DCE6F1"/>
          </w:tcPr>
          <w:p w14:paraId="0512BAD6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制作内容及技术要求</w:t>
            </w:r>
          </w:p>
        </w:tc>
        <w:tc>
          <w:tcPr>
            <w:tcW w:w="646" w:type="dxa"/>
            <w:shd w:val="clear" w:fill="DCE6F1"/>
          </w:tcPr>
          <w:p w14:paraId="7DCADB54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单位</w:t>
            </w:r>
          </w:p>
        </w:tc>
        <w:tc>
          <w:tcPr>
            <w:tcW w:w="480" w:type="dxa"/>
            <w:shd w:val="clear" w:fill="DCE6F1"/>
          </w:tcPr>
          <w:p w14:paraId="76ED7B6A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数量</w:t>
            </w:r>
          </w:p>
        </w:tc>
        <w:tc>
          <w:tcPr>
            <w:tcW w:w="620" w:type="dxa"/>
            <w:shd w:val="clear" w:fill="DCE6F1"/>
          </w:tcPr>
          <w:p w14:paraId="6F801B21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备注</w:t>
            </w:r>
          </w:p>
        </w:tc>
      </w:tr>
      <w:tr>
        <w:trPr/>
        <w:tc>
          <w:tcPr>
            <w:tcW w:w="480" w:type="dxa"/>
            <w:vAlign w:val="center"/>
          </w:tcPr>
          <w:p w14:paraId="68ADB3E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16800A0A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精品在线课程建设</w:t>
            </w:r>
          </w:p>
        </w:tc>
        <w:tc>
          <w:tcPr>
            <w:tcW w:w="5000" w:type="dxa"/>
          </w:tcPr>
          <w:p w14:paraId="4E2E5712">
            <w:pPr>
              <w:spacing w:before="20" w:after="20" w:line="276" w:lineRule="auto"/>
              <w:rPr>
                <w:rFonts w:ascii="宋体" w:hAnsi="宋体" w:eastAsia="宋体" w:cs="宋体"/>
                <w:b w:val="1"/>
                <w:sz w:val="21"/>
              </w:rPr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【制作内容】</w:t>
            </w:r>
            <w:r>
              <w:rPr>
                <w:rFonts w:hint="eastAsia" w:ascii="宋体" w:hAnsi="宋体" w:eastAsia="宋体" w:cs="宋体"/>
                <w:sz w:val="21"/>
              </w:rPr>
              <w:t>包括微课48个（含实操视频，每个8—15分钟，总时长不低于560分钟）、互动式仿真动画（10个交互点）5个、二维交互动画（10个交互点）5个、交互式习题（每套50题）1套、二维动画（每个3分钟）9个、三维动画（每个2分钟）7个、资源转换服务（对以往资源转换，不含双语）1套、课程体系图（能力图谱）及教材配套图设计30张、精品课在国家智慧教育云平台上线。</w:t>
            </w:r>
          </w:p>
          <w:p w14:paraId="21C90126">
            <w:r>
              <w:rPr>
                <w:rFonts w:hint="eastAsia" w:ascii="宋体" w:hAnsi="宋体" w:eastAsia="宋体" w:cs="宋体"/>
                <w:b w:val="1"/>
                <w:sz w:val="21"/>
              </w:rPr>
              <w:t>【技术参数】</w:t>
            </w:r>
            <w:r>
              <w:rPr>
                <w:rFonts w:hint="eastAsia" w:ascii="宋体" w:hAnsi="宋体" w:eastAsia="宋体" w:cs="宋体"/>
                <w:sz w:val="21"/>
              </w:rPr>
              <w:t>（1）声音和画面要求同步，无交流声或其他杂音等缺陷，无明显失真、放音过冲、过弱；（2）伴音清晰、饱满、圆润，无失真、噪声杂音干扰、音量忽大忽小现象；（3）视频压缩格式：采用 H.264/AVC（MPEG-4 Part 10）编码，使用二次编码；（4）视频码流率：动态码流的最低码率不得低于 1024Kbps；（5）视频成品分辨率：宽度1920像素×高度1080像素及以上；（6）视频画幅比：16:9；（7）视频帧率不低于25帧/秒。</w:t>
            </w:r>
          </w:p>
        </w:tc>
        <w:tc>
          <w:tcPr>
            <w:tcW w:w="646" w:type="dxa"/>
          </w:tcPr>
          <w:p w14:paraId="36D9B59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元/套</w:t>
            </w:r>
          </w:p>
        </w:tc>
        <w:tc>
          <w:tcPr>
            <w:tcW w:w="480" w:type="dxa"/>
          </w:tcPr>
          <w:p w14:paraId="13ADFD11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</w:t>
            </w:r>
          </w:p>
        </w:tc>
        <w:tc>
          <w:tcPr>
            <w:tcW w:w="620" w:type="dxa"/>
          </w:tcPr>
          <w:p w14:paraId="4E3DADF2">
            <w:pPr>
              <w:jc w:val="center"/>
            </w:pPr>
          </w:p>
        </w:tc>
      </w:tr>
      <w:tr>
        <w:trPr/>
        <w:tc>
          <w:tcPr>
            <w:tcW w:w="480" w:type="dxa"/>
            <w:vAlign w:val="center"/>
          </w:tcPr>
          <w:p w14:paraId="46D90E08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6E746BD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国际版课程建设</w:t>
            </w:r>
          </w:p>
        </w:tc>
        <w:tc>
          <w:tcPr>
            <w:tcW w:w="5000" w:type="dxa"/>
          </w:tcPr>
          <w:p w14:paraId="2E1232F9">
            <w:pPr>
              <w:spacing w:before="20" w:after="20" w:line="276" w:lineRule="auto"/>
              <w:rPr>
                <w:rFonts w:ascii="宋体" w:hAnsi="宋体" w:eastAsia="宋体" w:cs="宋体"/>
                <w:b w:val="1"/>
                <w:sz w:val="21"/>
              </w:rPr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【制作内容】</w:t>
            </w:r>
            <w:r>
              <w:rPr>
                <w:rFonts w:hint="eastAsia" w:ascii="宋体" w:hAnsi="宋体" w:eastAsia="宋体" w:cs="宋体"/>
                <w:sz w:val="21"/>
              </w:rPr>
              <w:t>包括上述精品在线课程视频配套双语（英文）版本翻译及制作（包含视频转译、课件转译、英文双语字幕、英文专业人声录制等全部英文双语内容）（含实操视频，每个8—15分钟）32个、互动式仿真动画（转译英文双语，10个交互点）5个、二维交互动画（转译英文双语，10个交互点）5个、二维动画（转译英文双语，每个3分钟）9个、三维动画（转译英文双语，每个2分钟）7个，课程在国家智慧教育云平台国际版上线。</w:t>
            </w:r>
          </w:p>
          <w:p w14:paraId="5A645EEC">
            <w:r>
              <w:rPr>
                <w:rFonts w:hint="eastAsia" w:ascii="宋体" w:hAnsi="宋体" w:eastAsia="宋体" w:cs="宋体"/>
                <w:b w:val="1"/>
                <w:sz w:val="21"/>
              </w:rPr>
              <w:t>【技术参数】</w:t>
            </w:r>
            <w:r>
              <w:rPr>
                <w:rFonts w:hint="eastAsia" w:ascii="宋体" w:hAnsi="宋体" w:eastAsia="宋体" w:cs="宋体"/>
                <w:sz w:val="21"/>
              </w:rPr>
              <w:t>课程视频配套双语（英文）版本翻译及制作（包含视频转译、课件转译、英文双语字幕、英文专业人声录制等全部英文双语内容）。</w:t>
            </w:r>
          </w:p>
        </w:tc>
        <w:tc>
          <w:tcPr>
            <w:tcW w:w="646" w:type="dxa"/>
          </w:tcPr>
          <w:p w14:paraId="732E173C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元/套</w:t>
            </w:r>
          </w:p>
        </w:tc>
        <w:tc>
          <w:tcPr>
            <w:tcW w:w="480" w:type="dxa"/>
          </w:tcPr>
          <w:p w14:paraId="4C969E6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</w:t>
            </w:r>
          </w:p>
        </w:tc>
        <w:tc>
          <w:tcPr>
            <w:tcW w:w="620" w:type="dxa"/>
          </w:tcPr>
          <w:p w14:paraId="08004F74">
            <w:pPr>
              <w:jc w:val="center"/>
            </w:pPr>
          </w:p>
        </w:tc>
      </w:tr>
      <w:tr>
        <w:trPr/>
        <w:tc>
          <w:tcPr>
            <w:tcW w:w="480" w:type="dxa"/>
            <w:vAlign w:val="center"/>
          </w:tcPr>
          <w:p w14:paraId="0325AFB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</w:t>
            </w:r>
          </w:p>
        </w:tc>
        <w:tc>
          <w:tcPr>
            <w:tcW w:w="1080" w:type="dxa"/>
            <w:vAlign w:val="center"/>
          </w:tcPr>
          <w:p w14:paraId="4EC92743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数字教材开发及编写</w:t>
            </w:r>
          </w:p>
        </w:tc>
        <w:tc>
          <w:tcPr>
            <w:tcW w:w="5000" w:type="dxa"/>
          </w:tcPr>
          <w:p w14:paraId="1380740B">
            <w:pPr>
              <w:spacing w:before="20" w:after="20" w:line="276" w:lineRule="auto"/>
              <w:rPr>
                <w:rFonts w:ascii="宋体" w:hAnsi="宋体" w:eastAsia="宋体" w:cs="宋体"/>
                <w:b w:val="1"/>
                <w:sz w:val="21"/>
              </w:rPr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【制作内容】</w:t>
            </w:r>
            <w:r>
              <w:rPr>
                <w:rFonts w:hint="eastAsia" w:ascii="宋体" w:hAnsi="宋体" w:eastAsia="宋体" w:cs="宋体"/>
                <w:sz w:val="21"/>
              </w:rPr>
              <w:t>聘请行业企业专家指导教材编写；申领可在国家版本数据中心查询的电子出版物号（国家一级出版社）；指导编写，审核大纲、样章；书稿实施三审，复审、终审需留存审稿意见；落实三校，统计校对问题，留存校样，控制差错率；审核配套数字资源，排查各类错误，确保资源可用、格式合规；完成文稿排版、图表重绘及封面设计，封面要素齐全，教材字数不低于35—40万字。按平台要求制作部署教材，项目负责人终审后发布；平台设置教材专页，展示封面、书号、简介、目录等信息；平台采用B/S架构，支持Windows及主流移动端，跨端使用搭载富媒体阅读器，支持多媒体资源，可自定义字号、视频倍速等。</w:t>
            </w:r>
          </w:p>
          <w:p w14:paraId="743F546E">
            <w:r>
              <w:rPr>
                <w:rFonts w:hint="eastAsia" w:ascii="宋体" w:hAnsi="宋体" w:eastAsia="宋体" w:cs="宋体"/>
                <w:b w:val="1"/>
                <w:sz w:val="21"/>
              </w:rPr>
              <w:t>【技术参数】</w:t>
            </w:r>
            <w:r>
              <w:rPr>
                <w:rFonts w:hint="eastAsia" w:ascii="宋体" w:hAnsi="宋体" w:eastAsia="宋体" w:cs="宋体"/>
                <w:sz w:val="21"/>
              </w:rPr>
              <w:t>① 编码：UTF-8；支持 MathML、LaTeX 公式、专业符号、工程图纸标注。② 内容差错率：文字差错率≤0.0025%；图/音视频差错率≤0.005%；落实三审三校。③ 排版：自适应PC、平板、手机；支持自定义字号、高亮、批注、书签、全文检索；支持活页拆分、模块重组（高职特色）。④ 元数据：书名、专业、课程、学时、岗位技能点、思政点、版本、出版单位、资源唯一标识。</w:t>
            </w:r>
          </w:p>
        </w:tc>
        <w:tc>
          <w:tcPr>
            <w:tcW w:w="646" w:type="dxa"/>
          </w:tcPr>
          <w:p w14:paraId="0D270DD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元/套</w:t>
            </w:r>
          </w:p>
        </w:tc>
        <w:tc>
          <w:tcPr>
            <w:tcW w:w="480" w:type="dxa"/>
          </w:tcPr>
          <w:p w14:paraId="6BFF99E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</w:t>
            </w:r>
          </w:p>
        </w:tc>
        <w:tc>
          <w:tcPr>
            <w:tcW w:w="620" w:type="dxa"/>
          </w:tcPr>
          <w:p w14:paraId="264F41D2">
            <w:pPr>
              <w:jc w:val="center"/>
            </w:pPr>
          </w:p>
        </w:tc>
      </w:tr>
      <w:tr>
        <w:trPr/>
        <w:tc>
          <w:tcPr>
            <w:tcW w:w="6560" w:type="dxa"/>
            <w:gridSpan w:val="3"/>
            <w:shd w:val="clear" w:fill="F2F2F2"/>
            <w:vAlign w:val="center"/>
          </w:tcPr>
          <w:p w14:paraId="142E2546">
            <w:pPr>
              <w:jc w:val="center"/>
            </w:pPr>
            <w:r>
              <w:rPr>
                <w:rFonts w:hint="eastAsia" w:ascii="宋体" w:hAnsi="宋体" w:eastAsia="宋体" w:cs="宋体"/>
                <w:b w:val="1"/>
                <w:sz w:val="21"/>
              </w:rPr>
              <w:t>总价（元）</w:t>
            </w:r>
          </w:p>
        </w:tc>
        <w:tc>
          <w:tcPr>
            <w:tcW w:w="1746" w:type="dxa"/>
            <w:gridSpan w:val="3"/>
            <w:shd w:val="clear" w:fill="F2F2F2"/>
            <w:vAlign w:val="center"/>
          </w:tcPr>
          <w:p w14:paraId="505C76C5"/>
        </w:tc>
      </w:tr>
    </w:tbl>
    <w:p w14:paraId="4F79C0C3"/>
    <w:sectPr/>
  </w:body>
</w:document>
</file>

<file path=word/fontTable.xml><?xml version="1.0" encoding="utf-8"?>
<w:fonts xmlns:w="http://schemas.openxmlformats.org/wordprocessingml/2006/main"/>
</file>

<file path=word/settings.xml><?xml version="1.0" encoding="utf-8"?>
<w:settings xmlns:w="http://schemas.openxmlformats.org/wordprocessingml/2006/main" xmlns:w15="http://schemas.microsoft.com/office/word/2012/wordml" xmlns:m="http://schemas.openxmlformats.org/officeDocument/2006/math" xmlns:w14="http://schemas.microsoft.com/office/word/2010/wordml" xmlns:mc="http://schemas.openxmlformats.org/markup-compatibility/2006" mc:Ignorable="w15 w14">
  <w:zoom w:percent="10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</w:compat>
  <w:rsids>
    <w:rsidRoot w:val="00E023A0"/>
    <w:rsid w:val="00680AC3"/>
    <w:rsid w:val="007452DF"/>
    <w:rsid w:val="00E0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B54FC"/>
  <w15:chartTrackingRefBased w:val="1"/>
  <w15:docId w15:val="{0549D595-5F3E-9A49-832F-E7DF37783478}"/>
</w:settings>
</file>

<file path=word/styles.xml><?xml version="1.0" encoding="utf-8"?>
<w:styles xmlns:w="http://schemas.openxmlformats.org/wordprocessingml/2006/main">
  <w:style w:type="table" w:styleId="by632n">
    <w:name w:val="Table Grid"/>
    <w:basedOn w:val="iy9bi3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  <w:style w:type="table" w:styleId="iy9bi3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2026-09-18T11:10:21Z</dcterms:created>
  <dcterms:modified xsi:type="dcterms:W3CDTF">2026-09-18T11:10:21Z</dcterms:modified>
</cp:coreProperties>
</file>