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黑龙江农业职业技术学院高职扩招志愿填报通知</w:t>
      </w:r>
    </w:p>
    <w:p>
      <w:pPr>
        <w:rPr>
          <w:rFonts w:hint="default"/>
          <w:lang w:val="en-US" w:eastAsia="zh-CN"/>
        </w:rPr>
      </w:pPr>
      <w:r>
        <w:rPr>
          <w:rFonts w:hint="eastAsia"/>
          <w:lang w:val="en-US" w:eastAsia="zh-CN"/>
        </w:rPr>
        <w:t>一、招生计划：2020年高职扩招计划4000人。</w:t>
      </w:r>
    </w:p>
    <w:tbl>
      <w:tblPr>
        <w:tblStyle w:val="2"/>
        <w:tblpPr w:leftFromText="180" w:rightFromText="180" w:vertAnchor="text" w:horzAnchor="page" w:tblpXSpec="center" w:tblpY="394"/>
        <w:tblOverlap w:val="never"/>
        <w:tblW w:w="9163" w:type="dxa"/>
        <w:jc w:val="center"/>
        <w:shd w:val="clear" w:color="auto" w:fill="auto"/>
        <w:tblLayout w:type="fixed"/>
        <w:tblCellMar>
          <w:top w:w="0" w:type="dxa"/>
          <w:left w:w="0" w:type="dxa"/>
          <w:bottom w:w="0" w:type="dxa"/>
          <w:right w:w="0" w:type="dxa"/>
        </w:tblCellMar>
      </w:tblPr>
      <w:tblGrid>
        <w:gridCol w:w="905"/>
        <w:gridCol w:w="2101"/>
        <w:gridCol w:w="614"/>
        <w:gridCol w:w="496"/>
        <w:gridCol w:w="1372"/>
        <w:gridCol w:w="652"/>
        <w:gridCol w:w="1401"/>
        <w:gridCol w:w="930"/>
        <w:gridCol w:w="692"/>
      </w:tblGrid>
      <w:tr>
        <w:tblPrEx>
          <w:shd w:val="clear" w:color="auto" w:fill="auto"/>
          <w:tblCellMar>
            <w:top w:w="0" w:type="dxa"/>
            <w:left w:w="0" w:type="dxa"/>
            <w:bottom w:w="0" w:type="dxa"/>
            <w:right w:w="0" w:type="dxa"/>
          </w:tblCellMar>
        </w:tblPrEx>
        <w:trPr>
          <w:trHeight w:val="422" w:hRule="atLeast"/>
          <w:jc w:val="center"/>
        </w:trPr>
        <w:tc>
          <w:tcPr>
            <w:tcW w:w="90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21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专业名称</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学制</w:t>
            </w:r>
          </w:p>
        </w:tc>
        <w:tc>
          <w:tcPr>
            <w:tcW w:w="49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招生总数</w:t>
            </w:r>
          </w:p>
        </w:tc>
        <w:tc>
          <w:tcPr>
            <w:tcW w:w="43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生源类别</w:t>
            </w:r>
          </w:p>
        </w:tc>
        <w:tc>
          <w:tcPr>
            <w:tcW w:w="6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收费标准</w:t>
            </w:r>
          </w:p>
        </w:tc>
      </w:tr>
      <w:tr>
        <w:tblPrEx>
          <w:tblCellMar>
            <w:top w:w="0" w:type="dxa"/>
            <w:left w:w="0" w:type="dxa"/>
            <w:bottom w:w="0" w:type="dxa"/>
            <w:right w:w="0" w:type="dxa"/>
          </w:tblCellMar>
        </w:tblPrEx>
        <w:trPr>
          <w:trHeight w:val="960" w:hRule="atLeast"/>
          <w:jc w:val="center"/>
        </w:trPr>
        <w:tc>
          <w:tcPr>
            <w:tcW w:w="90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高中阶段教育学校毕业生</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退役军人</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下岗失业人员、农民工、新型职业农民、在岗职工等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在职基层卫生技术人员</w:t>
            </w:r>
          </w:p>
        </w:tc>
        <w:tc>
          <w:tcPr>
            <w:tcW w:w="6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01</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植物保护与检疫技术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作物生产技术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03</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园艺技术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04</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畜牧兽医 </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宠物临床诊疗技术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06</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家政服务与管理</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07</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老年服务与管理</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08</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中医养生保健</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09</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园林技术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建筑室内设计</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建筑工程技术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食品加工技术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机电一体化技术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无人机应用技术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汽车检测与维修技术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新能源汽车技术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计算机网络技术</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会计</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市场营销</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电子商务</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物流管理</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酒店管理</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药品经营与管理</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3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w:t>
            </w:r>
          </w:p>
        </w:tc>
      </w:tr>
      <w:tr>
        <w:tblPrEx>
          <w:tblCellMar>
            <w:top w:w="0" w:type="dxa"/>
            <w:left w:w="0" w:type="dxa"/>
            <w:bottom w:w="0" w:type="dxa"/>
            <w:right w:w="0" w:type="dxa"/>
          </w:tblCellMar>
        </w:tblPrEx>
        <w:trPr>
          <w:trHeight w:val="402"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825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FF0000"/>
                <w:kern w:val="0"/>
                <w:sz w:val="21"/>
                <w:szCs w:val="21"/>
                <w:u w:val="none"/>
                <w:lang w:val="en-US" w:eastAsia="zh-CN" w:bidi="ar"/>
              </w:rPr>
              <w:t>备注：生源类别为退役军人的考生学习序号为01-22的专业均免收学费。</w:t>
            </w:r>
          </w:p>
        </w:tc>
      </w:tr>
    </w:tbl>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420" w:firstLineChars="200"/>
        <w:rPr>
          <w:rFonts w:hint="eastAsia"/>
          <w:lang w:val="en-US" w:eastAsia="zh-CN"/>
        </w:rPr>
      </w:pPr>
      <w:r>
        <w:rPr>
          <w:rFonts w:hint="eastAsia"/>
          <w:lang w:val="en-US" w:eastAsia="zh-CN"/>
        </w:rPr>
        <w:t>二、录取原则：我院将严格按照省教育厅下达的分类别分专业招生计划按从高分到底分顺序录取，录满为止。</w:t>
      </w:r>
    </w:p>
    <w:p>
      <w:pPr>
        <w:ind w:firstLine="420" w:firstLineChars="200"/>
        <w:rPr>
          <w:rFonts w:hint="eastAsia"/>
          <w:lang w:val="en-US" w:eastAsia="zh-CN"/>
        </w:rPr>
      </w:pPr>
      <w:r>
        <w:rPr>
          <w:rFonts w:hint="eastAsia"/>
          <w:lang w:val="en-US" w:eastAsia="zh-CN"/>
        </w:rPr>
        <w:t>三、志愿填报时间：2020年11月9日至11月11日，每天系统开放时间为9:00至20:00。</w:t>
      </w:r>
    </w:p>
    <w:p>
      <w:pPr>
        <w:ind w:firstLine="420" w:firstLineChars="200"/>
        <w:rPr>
          <w:rFonts w:hint="eastAsia"/>
          <w:lang w:val="en-US" w:eastAsia="zh-CN"/>
        </w:rPr>
      </w:pPr>
      <w:r>
        <w:rPr>
          <w:rFonts w:hint="eastAsia"/>
          <w:lang w:val="en-US" w:eastAsia="zh-CN"/>
        </w:rPr>
        <w:t>四、填报志愿流程：</w:t>
      </w:r>
    </w:p>
    <w:p>
      <w:pPr>
        <w:rPr>
          <w:rFonts w:hint="eastAsia"/>
          <w:lang w:val="en-US" w:eastAsia="zh-CN"/>
        </w:rPr>
      </w:pPr>
      <w:r>
        <w:rPr>
          <w:rFonts w:hint="eastAsia"/>
          <w:lang w:val="en-US" w:eastAsia="zh-CN"/>
        </w:rPr>
        <w:t>1、登录黑龙江招生考试信息港（https://www.lzk.hl.cn/）。</w:t>
      </w:r>
    </w:p>
    <w:p>
      <w:pPr>
        <w:jc w:val="center"/>
        <w:rPr>
          <w:rFonts w:hint="default"/>
          <w:lang w:val="en-US" w:eastAsia="zh-CN"/>
        </w:rPr>
      </w:pPr>
      <w:r>
        <w:rPr>
          <w:rFonts w:hint="default"/>
          <w:lang w:val="en-US" w:eastAsia="zh-CN"/>
        </w:rPr>
        <w:drawing>
          <wp:inline distT="0" distB="0" distL="114300" distR="114300">
            <wp:extent cx="5266690" cy="2927985"/>
            <wp:effectExtent l="0" t="0" r="10160" b="5715"/>
            <wp:docPr id="1" name="图片 1" descr="1604885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4885757(1)"/>
                    <pic:cNvPicPr>
                      <a:picLocks noChangeAspect="1"/>
                    </pic:cNvPicPr>
                  </pic:nvPicPr>
                  <pic:blipFill>
                    <a:blip r:embed="rId4"/>
                    <a:stretch>
                      <a:fillRect/>
                    </a:stretch>
                  </pic:blipFill>
                  <pic:spPr>
                    <a:xfrm>
                      <a:off x="0" y="0"/>
                      <a:ext cx="5266690" cy="2927985"/>
                    </a:xfrm>
                    <a:prstGeom prst="rect">
                      <a:avLst/>
                    </a:prstGeom>
                  </pic:spPr>
                </pic:pic>
              </a:graphicData>
            </a:graphic>
          </wp:inline>
        </w:drawing>
      </w:r>
    </w:p>
    <w:p>
      <w:pPr>
        <w:rPr>
          <w:rFonts w:hint="eastAsia"/>
          <w:lang w:val="en-US" w:eastAsia="zh-CN"/>
        </w:rPr>
      </w:pPr>
      <w:r>
        <w:rPr>
          <w:rFonts w:hint="eastAsia"/>
          <w:lang w:val="en-US" w:eastAsia="zh-CN"/>
        </w:rPr>
        <w:t>2、点击“网报中心”进入。</w:t>
      </w:r>
    </w:p>
    <w:p>
      <w:pPr>
        <w:jc w:val="center"/>
        <w:rPr>
          <w:rFonts w:hint="default"/>
          <w:lang w:val="en-US" w:eastAsia="zh-CN"/>
        </w:rPr>
      </w:pPr>
      <w:r>
        <w:rPr>
          <w:rFonts w:hint="default"/>
          <w:lang w:val="en-US" w:eastAsia="zh-CN"/>
        </w:rPr>
        <w:drawing>
          <wp:inline distT="0" distB="0" distL="114300" distR="114300">
            <wp:extent cx="5269865" cy="4931410"/>
            <wp:effectExtent l="0" t="0" r="6985" b="2540"/>
            <wp:docPr id="2" name="图片 2" descr="1604885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4885838(1)"/>
                    <pic:cNvPicPr>
                      <a:picLocks noChangeAspect="1"/>
                    </pic:cNvPicPr>
                  </pic:nvPicPr>
                  <pic:blipFill>
                    <a:blip r:embed="rId5"/>
                    <a:stretch>
                      <a:fillRect/>
                    </a:stretch>
                  </pic:blipFill>
                  <pic:spPr>
                    <a:xfrm>
                      <a:off x="0" y="0"/>
                      <a:ext cx="5269865" cy="4931410"/>
                    </a:xfrm>
                    <a:prstGeom prst="rect">
                      <a:avLst/>
                    </a:prstGeom>
                  </pic:spPr>
                </pic:pic>
              </a:graphicData>
            </a:graphic>
          </wp:inline>
        </w:drawing>
      </w:r>
    </w:p>
    <w:p>
      <w:pPr>
        <w:rPr>
          <w:rFonts w:hint="eastAsia"/>
          <w:lang w:val="en-US" w:eastAsia="zh-CN"/>
        </w:rPr>
      </w:pPr>
      <w:r>
        <w:rPr>
          <w:rFonts w:hint="eastAsia"/>
          <w:lang w:val="en-US" w:eastAsia="zh-CN"/>
        </w:rPr>
        <w:t>3、点击“2020年黑龙江省高职扩招报名入口”端口进入。</w:t>
      </w:r>
    </w:p>
    <w:p>
      <w:pPr>
        <w:jc w:val="center"/>
        <w:rPr>
          <w:rFonts w:hint="default"/>
          <w:lang w:val="en-US" w:eastAsia="zh-CN"/>
        </w:rPr>
      </w:pPr>
      <w:r>
        <w:rPr>
          <w:rFonts w:hint="default"/>
          <w:lang w:val="en-US" w:eastAsia="zh-CN"/>
        </w:rPr>
        <w:drawing>
          <wp:inline distT="0" distB="0" distL="114300" distR="114300">
            <wp:extent cx="5271135" cy="4580255"/>
            <wp:effectExtent l="0" t="0" r="5715" b="10795"/>
            <wp:docPr id="3" name="图片 3" descr="1604885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4885987(1)"/>
                    <pic:cNvPicPr>
                      <a:picLocks noChangeAspect="1"/>
                    </pic:cNvPicPr>
                  </pic:nvPicPr>
                  <pic:blipFill>
                    <a:blip r:embed="rId6"/>
                    <a:stretch>
                      <a:fillRect/>
                    </a:stretch>
                  </pic:blipFill>
                  <pic:spPr>
                    <a:xfrm>
                      <a:off x="0" y="0"/>
                      <a:ext cx="5271135" cy="4580255"/>
                    </a:xfrm>
                    <a:prstGeom prst="rect">
                      <a:avLst/>
                    </a:prstGeom>
                  </pic:spPr>
                </pic:pic>
              </a:graphicData>
            </a:graphic>
          </wp:inline>
        </w:drawing>
      </w:r>
    </w:p>
    <w:p>
      <w:pPr>
        <w:numPr>
          <w:ilvl w:val="0"/>
          <w:numId w:val="1"/>
        </w:numPr>
        <w:rPr>
          <w:rFonts w:hint="eastAsia"/>
          <w:lang w:val="en-US" w:eastAsia="zh-CN"/>
        </w:rPr>
      </w:pPr>
      <w:r>
        <w:rPr>
          <w:rFonts w:hint="eastAsia"/>
          <w:lang w:val="en-US" w:eastAsia="zh-CN"/>
        </w:rPr>
        <w:t>凭身份证号和报名时设定的密码登录</w:t>
      </w:r>
    </w:p>
    <w:p>
      <w:pPr>
        <w:numPr>
          <w:ilvl w:val="0"/>
          <w:numId w:val="0"/>
        </w:numPr>
        <w:jc w:val="center"/>
        <w:rPr>
          <w:rFonts w:hint="default"/>
          <w:lang w:val="en-US" w:eastAsia="zh-CN"/>
        </w:rPr>
      </w:pPr>
      <w:r>
        <w:rPr>
          <w:rFonts w:hint="default"/>
          <w:lang w:val="en-US" w:eastAsia="zh-CN"/>
        </w:rPr>
        <w:drawing>
          <wp:inline distT="0" distB="0" distL="114300" distR="114300">
            <wp:extent cx="5269865" cy="2362835"/>
            <wp:effectExtent l="0" t="0" r="6985" b="18415"/>
            <wp:docPr id="4" name="图片 4" descr="1604886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4886114(1)"/>
                    <pic:cNvPicPr>
                      <a:picLocks noChangeAspect="1"/>
                    </pic:cNvPicPr>
                  </pic:nvPicPr>
                  <pic:blipFill>
                    <a:blip r:embed="rId7"/>
                    <a:stretch>
                      <a:fillRect/>
                    </a:stretch>
                  </pic:blipFill>
                  <pic:spPr>
                    <a:xfrm>
                      <a:off x="0" y="0"/>
                      <a:ext cx="5269865" cy="2362835"/>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t>5、点击“高职扩招志愿填报”专栏，选择黑龙江农业职业技术学院（代码：12725）</w:t>
      </w:r>
    </w:p>
    <w:p>
      <w:pPr>
        <w:numPr>
          <w:ilvl w:val="0"/>
          <w:numId w:val="0"/>
        </w:numPr>
        <w:jc w:val="center"/>
        <w:rPr>
          <w:rFonts w:hint="default"/>
          <w:lang w:val="en-US" w:eastAsia="zh-CN"/>
        </w:rPr>
      </w:pPr>
      <w:r>
        <w:drawing>
          <wp:inline distT="0" distB="0" distL="114300" distR="114300">
            <wp:extent cx="5272405" cy="4142740"/>
            <wp:effectExtent l="0" t="0" r="4445" b="1016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5272405" cy="4142740"/>
                    </a:xfrm>
                    <a:prstGeom prst="rect">
                      <a:avLst/>
                    </a:prstGeom>
                    <a:noFill/>
                    <a:ln>
                      <a:noFill/>
                    </a:ln>
                  </pic:spPr>
                </pic:pic>
              </a:graphicData>
            </a:graphic>
          </wp:inline>
        </w:drawing>
      </w:r>
    </w:p>
    <w:p>
      <w:pPr>
        <w:jc w:val="center"/>
        <w:rPr>
          <w:rFonts w:hint="eastAsia"/>
          <w:lang w:val="en-US" w:eastAsia="zh-CN"/>
        </w:rPr>
      </w:pPr>
      <w:r>
        <w:rPr>
          <w:rFonts w:hint="eastAsia"/>
          <w:lang w:val="en-US" w:eastAsia="zh-CN"/>
        </w:rPr>
        <w:t>6、填报专业志愿，按想学顺序安排专业位次，最后“是否服从调剂”栏选择“是”或者“否”。</w:t>
      </w:r>
      <w:r>
        <w:rPr>
          <w:rFonts w:hint="eastAsia"/>
          <w:lang w:val="en-US" w:eastAsia="zh-CN"/>
        </w:rPr>
        <w:drawing>
          <wp:inline distT="0" distB="0" distL="114300" distR="114300">
            <wp:extent cx="5273040" cy="3975100"/>
            <wp:effectExtent l="0" t="0" r="3810" b="6350"/>
            <wp:docPr id="6" name="图片 6" descr="1604886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4886415(1)"/>
                    <pic:cNvPicPr>
                      <a:picLocks noChangeAspect="1"/>
                    </pic:cNvPicPr>
                  </pic:nvPicPr>
                  <pic:blipFill>
                    <a:blip r:embed="rId9"/>
                    <a:stretch>
                      <a:fillRect/>
                    </a:stretch>
                  </pic:blipFill>
                  <pic:spPr>
                    <a:xfrm>
                      <a:off x="0" y="0"/>
                      <a:ext cx="5273040" cy="3975100"/>
                    </a:xfrm>
                    <a:prstGeom prst="rect">
                      <a:avLst/>
                    </a:prstGeom>
                  </pic:spPr>
                </pic:pic>
              </a:graphicData>
            </a:graphic>
          </wp:inline>
        </w:drawing>
      </w:r>
    </w:p>
    <w:p>
      <w:pPr>
        <w:rPr>
          <w:rFonts w:hint="eastAsia"/>
          <w:lang w:val="en-US" w:eastAsia="zh-CN"/>
        </w:rPr>
      </w:pPr>
      <w:r>
        <w:rPr>
          <w:rFonts w:hint="eastAsia"/>
          <w:lang w:val="en-US" w:eastAsia="zh-CN"/>
        </w:rPr>
        <w:t>7、点击“提交志愿信息”，完成志愿填报</w:t>
      </w:r>
    </w:p>
    <w:p>
      <w:pPr>
        <w:jc w:val="center"/>
        <w:rPr>
          <w:rFonts w:hint="default"/>
          <w:lang w:val="en-US" w:eastAsia="zh-CN"/>
        </w:rPr>
      </w:pPr>
      <w:r>
        <w:rPr>
          <w:rFonts w:hint="default"/>
          <w:lang w:val="en-US" w:eastAsia="zh-CN"/>
        </w:rPr>
        <w:drawing>
          <wp:inline distT="0" distB="0" distL="114300" distR="114300">
            <wp:extent cx="5271135" cy="3302635"/>
            <wp:effectExtent l="0" t="0" r="5715" b="12065"/>
            <wp:docPr id="7" name="图片 7" descr="1604886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4886812(1)"/>
                    <pic:cNvPicPr>
                      <a:picLocks noChangeAspect="1"/>
                    </pic:cNvPicPr>
                  </pic:nvPicPr>
                  <pic:blipFill>
                    <a:blip r:embed="rId10"/>
                    <a:stretch>
                      <a:fillRect/>
                    </a:stretch>
                  </pic:blipFill>
                  <pic:spPr>
                    <a:xfrm>
                      <a:off x="0" y="0"/>
                      <a:ext cx="5271135" cy="3302635"/>
                    </a:xfrm>
                    <a:prstGeom prst="rect">
                      <a:avLst/>
                    </a:prstGeom>
                  </pic:spPr>
                </pic:pic>
              </a:graphicData>
            </a:graphic>
          </wp:inline>
        </w:drawing>
      </w:r>
    </w:p>
    <w:p>
      <w:pPr>
        <w:rPr>
          <w:rFonts w:hint="eastAsia"/>
          <w:lang w:val="en-US" w:eastAsia="zh-CN"/>
        </w:rPr>
      </w:pPr>
      <w:r>
        <w:rPr>
          <w:rFonts w:hint="eastAsia"/>
          <w:lang w:val="en-US" w:eastAsia="zh-CN"/>
        </w:rPr>
        <w:t>8、点击“查看志愿信息”，确认无误，完成志愿填报。</w:t>
      </w:r>
    </w:p>
    <w:p>
      <w:pPr>
        <w:jc w:val="center"/>
      </w:pPr>
      <w:r>
        <w:drawing>
          <wp:inline distT="0" distB="0" distL="114300" distR="114300">
            <wp:extent cx="5272405" cy="3009265"/>
            <wp:effectExtent l="0" t="0" r="4445" b="63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tretch>
                      <a:fillRect/>
                    </a:stretch>
                  </pic:blipFill>
                  <pic:spPr>
                    <a:xfrm>
                      <a:off x="0" y="0"/>
                      <a:ext cx="5272405" cy="3009265"/>
                    </a:xfrm>
                    <a:prstGeom prst="rect">
                      <a:avLst/>
                    </a:prstGeom>
                    <a:noFill/>
                    <a:ln>
                      <a:noFill/>
                    </a:ln>
                  </pic:spPr>
                </pic:pic>
              </a:graphicData>
            </a:graphic>
          </wp:inline>
        </w:drawing>
      </w:r>
    </w:p>
    <w:p>
      <w:pPr>
        <w:rPr>
          <w:rFonts w:hint="eastAsia"/>
          <w:lang w:val="en-US" w:eastAsia="zh-CN"/>
        </w:rPr>
      </w:pPr>
      <w:r>
        <w:rPr>
          <w:rFonts w:hint="eastAsia"/>
          <w:lang w:val="en-US" w:eastAsia="zh-CN"/>
        </w:rPr>
        <w:t>五、志愿修改</w:t>
      </w:r>
    </w:p>
    <w:p>
      <w:pPr>
        <w:rPr>
          <w:rFonts w:hint="eastAsia"/>
          <w:lang w:val="en-US" w:eastAsia="zh-CN"/>
        </w:rPr>
      </w:pPr>
      <w:r>
        <w:rPr>
          <w:rFonts w:hint="eastAsia"/>
          <w:lang w:val="en-US" w:eastAsia="zh-CN"/>
        </w:rPr>
        <w:t>1、正常登陆后，点击“高职扩招志愿填报”，点击“已阅读，开始志愿填报”。</w:t>
      </w:r>
    </w:p>
    <w:p>
      <w:pPr>
        <w:rPr>
          <w:rFonts w:hint="eastAsia"/>
          <w:lang w:val="en-US" w:eastAsia="zh-CN"/>
        </w:rPr>
      </w:pPr>
      <w:r>
        <w:rPr>
          <w:rFonts w:hint="eastAsia"/>
          <w:lang w:val="en-US" w:eastAsia="zh-CN"/>
        </w:rPr>
        <w:drawing>
          <wp:inline distT="0" distB="0" distL="114300" distR="114300">
            <wp:extent cx="6641465" cy="3433445"/>
            <wp:effectExtent l="0" t="0" r="6985" b="14605"/>
            <wp:docPr id="12" name="图片 12" descr="1604889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4889637(1)"/>
                    <pic:cNvPicPr>
                      <a:picLocks noChangeAspect="1"/>
                    </pic:cNvPicPr>
                  </pic:nvPicPr>
                  <pic:blipFill>
                    <a:blip r:embed="rId12"/>
                    <a:stretch>
                      <a:fillRect/>
                    </a:stretch>
                  </pic:blipFill>
                  <pic:spPr>
                    <a:xfrm>
                      <a:off x="0" y="0"/>
                      <a:ext cx="6641465" cy="3433445"/>
                    </a:xfrm>
                    <a:prstGeom prst="rect">
                      <a:avLst/>
                    </a:prstGeom>
                  </pic:spPr>
                </pic:pic>
              </a:graphicData>
            </a:graphic>
          </wp:inline>
        </w:drawing>
      </w:r>
    </w:p>
    <w:p>
      <w:pPr>
        <w:rPr>
          <w:rFonts w:hint="eastAsia"/>
          <w:lang w:val="en-US" w:eastAsia="zh-CN"/>
        </w:rPr>
      </w:pPr>
    </w:p>
    <w:p>
      <w:pPr>
        <w:numPr>
          <w:ilvl w:val="0"/>
          <w:numId w:val="0"/>
        </w:numPr>
        <w:rPr>
          <w:rFonts w:hint="eastAsia"/>
          <w:lang w:val="en-US" w:eastAsia="zh-CN"/>
        </w:rPr>
      </w:pPr>
      <w:r>
        <w:rPr>
          <w:rFonts w:hint="eastAsia"/>
          <w:lang w:val="en-US" w:eastAsia="zh-CN"/>
        </w:rPr>
        <w:t>2、进入志愿填报界面</w:t>
      </w:r>
    </w:p>
    <w:p>
      <w:pPr>
        <w:numPr>
          <w:ilvl w:val="0"/>
          <w:numId w:val="0"/>
        </w:numPr>
        <w:rPr>
          <w:rFonts w:hint="default"/>
          <w:lang w:val="en-US" w:eastAsia="zh-CN"/>
        </w:rPr>
      </w:pPr>
      <w:r>
        <w:rPr>
          <w:rFonts w:hint="default"/>
          <w:lang w:val="en-US" w:eastAsia="zh-CN"/>
        </w:rPr>
        <w:drawing>
          <wp:inline distT="0" distB="0" distL="114300" distR="114300">
            <wp:extent cx="6645275" cy="3989070"/>
            <wp:effectExtent l="0" t="0" r="3175" b="11430"/>
            <wp:docPr id="13" name="图片 13" descr="1604889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4889752(1)"/>
                    <pic:cNvPicPr>
                      <a:picLocks noChangeAspect="1"/>
                    </pic:cNvPicPr>
                  </pic:nvPicPr>
                  <pic:blipFill>
                    <a:blip r:embed="rId13"/>
                    <a:stretch>
                      <a:fillRect/>
                    </a:stretch>
                  </pic:blipFill>
                  <pic:spPr>
                    <a:xfrm>
                      <a:off x="0" y="0"/>
                      <a:ext cx="6645275" cy="3989070"/>
                    </a:xfrm>
                    <a:prstGeom prst="rect">
                      <a:avLst/>
                    </a:prstGeom>
                  </pic:spPr>
                </pic:pic>
              </a:graphicData>
            </a:graphic>
          </wp:inline>
        </w:drawing>
      </w:r>
    </w:p>
    <w:p>
      <w:pPr>
        <w:numPr>
          <w:ilvl w:val="0"/>
          <w:numId w:val="0"/>
        </w:numPr>
        <w:rPr>
          <w:rFonts w:hint="eastAsia"/>
          <w:lang w:val="en-US" w:eastAsia="zh-CN"/>
        </w:rPr>
      </w:pPr>
      <w:r>
        <w:rPr>
          <w:rFonts w:hint="eastAsia"/>
          <w:lang w:val="en-US" w:eastAsia="zh-CN"/>
        </w:rPr>
        <w:t>3、点击“查看志愿信息”。</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8639175" cy="4391025"/>
            <wp:effectExtent l="0" t="0" r="9525" b="9525"/>
            <wp:docPr id="1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6"/>
                    <pic:cNvPicPr>
                      <a:picLocks noChangeAspect="1"/>
                    </pic:cNvPicPr>
                  </pic:nvPicPr>
                  <pic:blipFill>
                    <a:blip r:embed="rId14"/>
                    <a:stretch>
                      <a:fillRect/>
                    </a:stretch>
                  </pic:blipFill>
                  <pic:spPr>
                    <a:xfrm>
                      <a:off x="0" y="0"/>
                      <a:ext cx="8639175" cy="4391025"/>
                    </a:xfrm>
                    <a:prstGeom prst="rect">
                      <a:avLst/>
                    </a:prstGeom>
                    <a:noFill/>
                    <a:ln w="9525">
                      <a:noFill/>
                    </a:ln>
                  </pic:spPr>
                </pic:pic>
              </a:graphicData>
            </a:graphic>
          </wp:inline>
        </w:drawing>
      </w:r>
    </w:p>
    <w:p>
      <w:pPr>
        <w:numPr>
          <w:ilvl w:val="0"/>
          <w:numId w:val="0"/>
        </w:numPr>
        <w:ind w:leftChars="0"/>
        <w:rPr>
          <w:rFonts w:hint="eastAsia"/>
          <w:lang w:val="en-US" w:eastAsia="zh-CN"/>
        </w:rPr>
      </w:pPr>
      <w:r>
        <w:rPr>
          <w:rFonts w:hint="eastAsia"/>
          <w:lang w:val="en-US" w:eastAsia="zh-CN"/>
        </w:rPr>
        <w:t>4、点击“编辑志愿信息”。进入界面，从新选择专业后，点击“提交志愿信息”。</w:t>
      </w:r>
    </w:p>
    <w:p>
      <w:pPr>
        <w:numPr>
          <w:ilvl w:val="0"/>
          <w:numId w:val="0"/>
        </w:numPr>
        <w:ind w:leftChars="0"/>
        <w:rPr>
          <w:rFonts w:hint="default"/>
          <w:lang w:val="en-US" w:eastAsia="zh-CN"/>
        </w:rPr>
      </w:pPr>
      <w:bookmarkStart w:id="0" w:name="_GoBack"/>
      <w:r>
        <w:rPr>
          <w:rFonts w:hint="default"/>
          <w:lang w:val="en-US" w:eastAsia="zh-CN"/>
        </w:rPr>
        <w:drawing>
          <wp:inline distT="0" distB="0" distL="114300" distR="114300">
            <wp:extent cx="6644640" cy="3911600"/>
            <wp:effectExtent l="0" t="0" r="3810" b="12700"/>
            <wp:docPr id="16" name="图片 16" descr="1604889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4889912(1)"/>
                    <pic:cNvPicPr>
                      <a:picLocks noChangeAspect="1"/>
                    </pic:cNvPicPr>
                  </pic:nvPicPr>
                  <pic:blipFill>
                    <a:blip r:embed="rId15"/>
                    <a:stretch>
                      <a:fillRect/>
                    </a:stretch>
                  </pic:blipFill>
                  <pic:spPr>
                    <a:xfrm>
                      <a:off x="0" y="0"/>
                      <a:ext cx="6644640" cy="3911600"/>
                    </a:xfrm>
                    <a:prstGeom prst="rect">
                      <a:avLst/>
                    </a:prstGeom>
                  </pic:spPr>
                </pic:pic>
              </a:graphicData>
            </a:graphic>
          </wp:inline>
        </w:drawing>
      </w:r>
      <w:bookmarkEnd w:id="0"/>
    </w:p>
    <w:p>
      <w:pPr>
        <w:numPr>
          <w:ilvl w:val="0"/>
          <w:numId w:val="0"/>
        </w:numPr>
        <w:ind w:leftChars="0"/>
        <w:rPr>
          <w:rFonts w:hint="default"/>
          <w:lang w:val="en-US" w:eastAsia="zh-CN"/>
        </w:rPr>
      </w:pPr>
    </w:p>
    <w:p>
      <w:pPr>
        <w:numPr>
          <w:ilvl w:val="0"/>
          <w:numId w:val="0"/>
        </w:numPr>
        <w:ind w:leftChars="0"/>
        <w:rPr>
          <w:rFonts w:hint="default"/>
          <w:lang w:val="en-US" w:eastAsia="zh-CN"/>
        </w:rPr>
      </w:pPr>
    </w:p>
    <w:p>
      <w:pPr>
        <w:numPr>
          <w:ilvl w:val="0"/>
          <w:numId w:val="0"/>
        </w:numPr>
        <w:ind w:firstLine="7560" w:firstLineChars="3600"/>
        <w:rPr>
          <w:rFonts w:hint="eastAsia"/>
          <w:lang w:val="en-US" w:eastAsia="zh-CN"/>
        </w:rPr>
      </w:pPr>
      <w:r>
        <w:rPr>
          <w:rFonts w:hint="eastAsia"/>
          <w:lang w:val="en-US" w:eastAsia="zh-CN"/>
        </w:rPr>
        <w:t>黑龙江农业职业技术学院</w:t>
      </w:r>
    </w:p>
    <w:p>
      <w:pPr>
        <w:numPr>
          <w:ilvl w:val="0"/>
          <w:numId w:val="0"/>
        </w:numPr>
        <w:ind w:firstLine="7980" w:firstLineChars="3800"/>
        <w:rPr>
          <w:rFonts w:hint="default"/>
          <w:lang w:val="en-US" w:eastAsia="zh-CN"/>
        </w:rPr>
      </w:pPr>
      <w:r>
        <w:rPr>
          <w:rFonts w:hint="eastAsia"/>
          <w:lang w:val="en-US" w:eastAsia="zh-CN"/>
        </w:rPr>
        <w:t>2020年11月9日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05267"/>
    <w:multiLevelType w:val="singleLevel"/>
    <w:tmpl w:val="EC70526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B42DA"/>
    <w:rsid w:val="148B5109"/>
    <w:rsid w:val="177A12F2"/>
    <w:rsid w:val="1E983206"/>
    <w:rsid w:val="287B42DA"/>
    <w:rsid w:val="3F2834BF"/>
    <w:rsid w:val="4CE5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2020-11-09T01:08:00Z</dcterms:created>
  <dc:creator>Administrator</dc:creator>
  <cp:lastModifiedBy>Administrator</cp:lastModifiedBy>
  <cp:lastPrinted>2020-11-09T02:28:00Z</cp:lastPrinted>
  <dcterms:modified xsi:type="dcterms:W3CDTF">2020-11-09T03:09:47Z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